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50" w:rsidRPr="00202C33" w:rsidRDefault="00F46E50" w:rsidP="00202C33">
      <w:pPr>
        <w:pStyle w:val="FootnoteText"/>
        <w:spacing w:before="120"/>
        <w:rPr>
          <w:rFonts w:ascii="Times New Roman" w:hAnsi="Times New Roman" w:cs="Times New Roman"/>
          <w:b/>
          <w:sz w:val="18"/>
          <w:szCs w:val="18"/>
          <w:lang w:val="sr-Cyrl-CS"/>
        </w:rPr>
      </w:pPr>
      <w:bookmarkStart w:id="0" w:name="_GoBack"/>
      <w:bookmarkEnd w:id="0"/>
    </w:p>
    <w:p w:rsidR="006F5450" w:rsidRPr="00AB1DEE" w:rsidRDefault="006F5450" w:rsidP="00202C33">
      <w:pPr>
        <w:pStyle w:val="FootnoteText"/>
        <w:spacing w:before="120"/>
        <w:ind w:firstLine="680"/>
        <w:rPr>
          <w:rFonts w:ascii="Times New Roman" w:hAnsi="Times New Roman" w:cs="Times New Roman"/>
          <w:b/>
          <w:sz w:val="18"/>
          <w:szCs w:val="18"/>
          <w:lang w:val="sr-Cyrl-RS"/>
        </w:rPr>
      </w:pPr>
    </w:p>
    <w:p w:rsidR="00445562" w:rsidRPr="00202C33" w:rsidRDefault="00445562" w:rsidP="00202C33">
      <w:pPr>
        <w:pStyle w:val="FootnoteText"/>
        <w:spacing w:before="120"/>
        <w:ind w:firstLine="680"/>
        <w:jc w:val="center"/>
        <w:rPr>
          <w:rFonts w:ascii="Times New Roman" w:hAnsi="Times New Roman" w:cs="Times New Roman"/>
          <w:b/>
          <w:sz w:val="18"/>
          <w:szCs w:val="18"/>
          <w:lang w:val="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3239"/>
        <w:gridCol w:w="1046"/>
        <w:gridCol w:w="3247"/>
        <w:gridCol w:w="1220"/>
        <w:gridCol w:w="348"/>
        <w:gridCol w:w="1573"/>
        <w:gridCol w:w="1347"/>
      </w:tblGrid>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shd w:val="clear" w:color="auto" w:fill="D9D9D9"/>
          </w:tcPr>
          <w:p w:rsidR="00B04D2F" w:rsidRPr="00202C33" w:rsidRDefault="00B04D2F" w:rsidP="00202C33">
            <w:pPr>
              <w:spacing w:before="120"/>
              <w:jc w:val="both"/>
              <w:rPr>
                <w:rFonts w:ascii="Times New Roman" w:hAnsi="Times New Roman" w:cs="Times New Roman"/>
                <w:sz w:val="18"/>
                <w:szCs w:val="18"/>
                <w:lang w:val="sr-Cyrl-CS"/>
              </w:rPr>
            </w:pPr>
            <w:r w:rsidRPr="00202C33">
              <w:rPr>
                <w:rFonts w:ascii="Times New Roman" w:hAnsi="Times New Roman" w:cs="Times New Roman"/>
                <w:sz w:val="18"/>
                <w:szCs w:val="18"/>
                <w:lang w:val="sr-Cyrl-CS"/>
              </w:rPr>
              <w:t>1. Назив прописа E</w:t>
            </w:r>
            <w:r w:rsidR="00881077" w:rsidRPr="00202C33">
              <w:rPr>
                <w:rFonts w:ascii="Times New Roman" w:hAnsi="Times New Roman" w:cs="Times New Roman"/>
                <w:sz w:val="18"/>
                <w:szCs w:val="18"/>
                <w:lang w:val="sr-Cyrl-CS"/>
              </w:rPr>
              <w:t>вропске уније</w:t>
            </w:r>
            <w:r w:rsidRPr="00202C33" w:rsidDel="00C32699">
              <w:rPr>
                <w:rFonts w:ascii="Times New Roman" w:hAnsi="Times New Roman" w:cs="Times New Roman"/>
                <w:sz w:val="18"/>
                <w:szCs w:val="18"/>
                <w:lang w:val="sr-Cyrl-CS"/>
              </w:rPr>
              <w:t xml:space="preserve"> </w:t>
            </w:r>
            <w:r w:rsidRPr="00202C33">
              <w:rPr>
                <w:rFonts w:ascii="Times New Roman" w:hAnsi="Times New Roman" w:cs="Times New Roman"/>
                <w:sz w:val="18"/>
                <w:szCs w:val="18"/>
                <w:lang w:val="sr-Cyrl-CS"/>
              </w:rPr>
              <w:t xml:space="preserve">: </w:t>
            </w:r>
          </w:p>
          <w:p w:rsidR="00B04D2F" w:rsidRPr="00202C33" w:rsidRDefault="00B04D2F" w:rsidP="00202C33">
            <w:pPr>
              <w:spacing w:before="120"/>
              <w:jc w:val="both"/>
              <w:rPr>
                <w:rFonts w:ascii="Times New Roman" w:hAnsi="Times New Roman" w:cs="Times New Roman"/>
                <w:sz w:val="18"/>
                <w:szCs w:val="18"/>
                <w:lang w:val="sr-Cyrl-CS"/>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202C33" w:rsidRDefault="00B04D2F" w:rsidP="00202C33">
            <w:pPr>
              <w:spacing w:before="120"/>
              <w:jc w:val="both"/>
              <w:rPr>
                <w:rFonts w:ascii="Times New Roman" w:hAnsi="Times New Roman" w:cs="Times New Roman"/>
                <w:b/>
                <w:bCs/>
                <w:iCs/>
                <w:sz w:val="18"/>
                <w:szCs w:val="18"/>
                <w:lang w:val="sr-Cyrl-CS"/>
              </w:rPr>
            </w:pPr>
            <w:r w:rsidRPr="00202C33">
              <w:rPr>
                <w:rFonts w:ascii="Times New Roman" w:hAnsi="Times New Roman" w:cs="Times New Roman"/>
                <w:iCs/>
                <w:sz w:val="18"/>
                <w:szCs w:val="18"/>
                <w:lang w:val="ru-RU"/>
              </w:rPr>
              <w:t>2. „CELEX” ознака ЕУ прописа</w:t>
            </w:r>
            <w:r w:rsidRPr="00202C33" w:rsidDel="00C32699">
              <w:rPr>
                <w:rFonts w:ascii="Times New Roman" w:hAnsi="Times New Roman" w:cs="Times New Roman"/>
                <w:iCs/>
                <w:sz w:val="18"/>
                <w:szCs w:val="18"/>
                <w:lang w:val="ru-RU"/>
              </w:rPr>
              <w:t xml:space="preserve"> </w:t>
            </w:r>
          </w:p>
          <w:p w:rsidR="00B04D2F" w:rsidRPr="00202C33" w:rsidRDefault="00B04D2F" w:rsidP="00202C33">
            <w:pPr>
              <w:spacing w:before="120"/>
              <w:jc w:val="both"/>
              <w:rPr>
                <w:rFonts w:ascii="Times New Roman" w:hAnsi="Times New Roman" w:cs="Times New Roman"/>
                <w:iCs/>
                <w:sz w:val="18"/>
                <w:szCs w:val="18"/>
                <w:lang w:val="ru-RU"/>
              </w:rPr>
            </w:pP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6C56" w:rsidRPr="00202C33" w:rsidRDefault="00E36C56" w:rsidP="00202C33">
            <w:pPr>
              <w:pStyle w:val="doc-ti"/>
              <w:spacing w:before="120" w:beforeAutospacing="0" w:after="0" w:afterAutospacing="0"/>
              <w:rPr>
                <w:b/>
                <w:bCs/>
                <w:sz w:val="18"/>
                <w:szCs w:val="18"/>
              </w:rPr>
            </w:pPr>
            <w:r w:rsidRPr="00202C33">
              <w:rPr>
                <w:b/>
                <w:bCs/>
                <w:sz w:val="18"/>
                <w:szCs w:val="18"/>
              </w:rPr>
              <w:t>COMMISSION DELEGATED REGULATION (EU) No 574/2014</w:t>
            </w:r>
            <w:r w:rsidRPr="00202C33">
              <w:rPr>
                <w:b/>
                <w:bCs/>
                <w:sz w:val="18"/>
                <w:szCs w:val="18"/>
                <w:lang w:val="sr-Cyrl-CS"/>
              </w:rPr>
              <w:t xml:space="preserve"> </w:t>
            </w:r>
            <w:r w:rsidRPr="00202C33">
              <w:rPr>
                <w:b/>
                <w:bCs/>
                <w:sz w:val="18"/>
                <w:szCs w:val="18"/>
              </w:rPr>
              <w:t>of 21 February 2014</w:t>
            </w:r>
            <w:r w:rsidRPr="00202C33">
              <w:rPr>
                <w:b/>
                <w:bCs/>
                <w:sz w:val="18"/>
                <w:szCs w:val="18"/>
                <w:lang w:val="sr-Cyrl-CS"/>
              </w:rPr>
              <w:t xml:space="preserve"> </w:t>
            </w:r>
            <w:r w:rsidRPr="00202C33">
              <w:rPr>
                <w:b/>
                <w:bCs/>
                <w:sz w:val="18"/>
                <w:szCs w:val="18"/>
              </w:rPr>
              <w:t>amending Annex III to Regulation (EU) No 305/2011 of the European Parliament and of the Council on the model to be used for drawing up a declaration of performance on construction products</w:t>
            </w:r>
          </w:p>
          <w:p w:rsidR="00425B2E" w:rsidRPr="00202C33" w:rsidRDefault="00425B2E" w:rsidP="00202C33">
            <w:pPr>
              <w:spacing w:before="120"/>
              <w:jc w:val="both"/>
              <w:rPr>
                <w:rFonts w:ascii="Times New Roman" w:hAnsi="Times New Roman" w:cs="Times New Roman"/>
                <w:iCs/>
                <w:sz w:val="18"/>
                <w:szCs w:val="18"/>
                <w:lang w:val="ru-RU"/>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202C33" w:rsidRDefault="00E36C56" w:rsidP="00202C33">
            <w:pPr>
              <w:spacing w:before="120"/>
              <w:jc w:val="both"/>
              <w:rPr>
                <w:rFonts w:ascii="Times New Roman" w:hAnsi="Times New Roman" w:cs="Times New Roman"/>
                <w:b/>
                <w:bCs/>
                <w:iCs/>
                <w:sz w:val="18"/>
                <w:szCs w:val="18"/>
              </w:rPr>
            </w:pPr>
            <w:r w:rsidRPr="00202C33">
              <w:rPr>
                <w:rFonts w:ascii="Times New Roman" w:hAnsi="Times New Roman" w:cs="Times New Roman"/>
                <w:sz w:val="18"/>
                <w:szCs w:val="18"/>
                <w:shd w:val="clear" w:color="auto" w:fill="FFFFFF"/>
              </w:rPr>
              <w:t>32014R0574</w:t>
            </w: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tcPr>
          <w:p w:rsidR="00B04D2F" w:rsidRPr="005E457D" w:rsidRDefault="00B04D2F" w:rsidP="00202C33">
            <w:pPr>
              <w:spacing w:before="120"/>
              <w:rPr>
                <w:rFonts w:ascii="Times New Roman" w:hAnsi="Times New Roman" w:cs="Times New Roman"/>
                <w:sz w:val="18"/>
                <w:szCs w:val="18"/>
                <w:lang w:val="sr-Cyrl-RS"/>
              </w:rPr>
            </w:pPr>
            <w:r w:rsidRPr="00202C33">
              <w:rPr>
                <w:rFonts w:ascii="Times New Roman" w:hAnsi="Times New Roman" w:cs="Times New Roman"/>
                <w:sz w:val="18"/>
                <w:szCs w:val="18"/>
                <w:lang w:val="sr-Cyrl-CS"/>
              </w:rPr>
              <w:t>3. Орган државне управе, односно други овлашћени предлагач прописа</w:t>
            </w:r>
            <w:r w:rsidR="005E457D">
              <w:rPr>
                <w:rFonts w:ascii="Times New Roman" w:hAnsi="Times New Roman" w:cs="Times New Roman"/>
                <w:sz w:val="18"/>
                <w:szCs w:val="18"/>
                <w:lang w:val="sr-Cyrl-RS"/>
              </w:rPr>
              <w:t>-Влада</w:t>
            </w:r>
          </w:p>
        </w:tc>
        <w:tc>
          <w:tcPr>
            <w:tcW w:w="1108" w:type="pct"/>
            <w:gridSpan w:val="2"/>
            <w:tcBorders>
              <w:top w:val="single" w:sz="4" w:space="0" w:color="auto"/>
              <w:left w:val="single" w:sz="4" w:space="0" w:color="auto"/>
              <w:bottom w:val="single" w:sz="4" w:space="0" w:color="auto"/>
              <w:right w:val="single" w:sz="4" w:space="0" w:color="auto"/>
            </w:tcBorders>
          </w:tcPr>
          <w:p w:rsidR="00B04D2F" w:rsidRPr="00202C33" w:rsidRDefault="00B04D2F" w:rsidP="00202C33">
            <w:pPr>
              <w:spacing w:before="120"/>
              <w:jc w:val="both"/>
              <w:rPr>
                <w:rFonts w:ascii="Times New Roman" w:hAnsi="Times New Roman" w:cs="Times New Roman"/>
                <w:iCs/>
                <w:sz w:val="18"/>
                <w:szCs w:val="18"/>
                <w:lang w:val="ru-RU"/>
              </w:rPr>
            </w:pPr>
            <w:r w:rsidRPr="00202C33">
              <w:rPr>
                <w:rFonts w:ascii="Times New Roman" w:hAnsi="Times New Roman" w:cs="Times New Roman"/>
                <w:iCs/>
                <w:sz w:val="18"/>
                <w:szCs w:val="18"/>
                <w:lang w:val="ru-RU"/>
              </w:rPr>
              <w:t xml:space="preserve">4. Датум израде табеле: </w:t>
            </w: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tcPr>
          <w:p w:rsidR="00B04D2F" w:rsidRPr="00202C33" w:rsidRDefault="005E457D" w:rsidP="00202C33">
            <w:pPr>
              <w:spacing w:before="120"/>
              <w:jc w:val="both"/>
              <w:rPr>
                <w:rFonts w:ascii="Times New Roman" w:hAnsi="Times New Roman" w:cs="Times New Roman"/>
                <w:sz w:val="18"/>
                <w:szCs w:val="18"/>
                <w:lang w:val="sr-Cyrl-CS"/>
              </w:rPr>
            </w:pPr>
            <w:r>
              <w:rPr>
                <w:rFonts w:ascii="Times New Roman" w:hAnsi="Times New Roman" w:cs="Times New Roman"/>
                <w:sz w:val="18"/>
                <w:szCs w:val="18"/>
                <w:lang w:val="sr-Cyrl-CS"/>
              </w:rPr>
              <w:t>Обрађивач -</w:t>
            </w:r>
            <w:r w:rsidR="00093614" w:rsidRPr="00202C33">
              <w:rPr>
                <w:rFonts w:ascii="Times New Roman" w:hAnsi="Times New Roman" w:cs="Times New Roman"/>
                <w:sz w:val="18"/>
                <w:szCs w:val="18"/>
                <w:lang w:val="sr-Cyrl-CS"/>
              </w:rPr>
              <w:t>Министарство грађевинарства, саобраћаја и инфраструктуре</w:t>
            </w:r>
          </w:p>
        </w:tc>
        <w:tc>
          <w:tcPr>
            <w:tcW w:w="1108" w:type="pct"/>
            <w:gridSpan w:val="2"/>
            <w:tcBorders>
              <w:top w:val="single" w:sz="4" w:space="0" w:color="auto"/>
              <w:left w:val="single" w:sz="4" w:space="0" w:color="auto"/>
              <w:bottom w:val="single" w:sz="4" w:space="0" w:color="auto"/>
              <w:right w:val="single" w:sz="4" w:space="0" w:color="auto"/>
            </w:tcBorders>
          </w:tcPr>
          <w:p w:rsidR="00B04D2F" w:rsidRPr="00202C33" w:rsidRDefault="003E7F02" w:rsidP="00202C33">
            <w:pPr>
              <w:spacing w:before="120"/>
              <w:jc w:val="both"/>
              <w:rPr>
                <w:rFonts w:ascii="Times New Roman" w:hAnsi="Times New Roman" w:cs="Times New Roman"/>
                <w:iCs/>
                <w:sz w:val="18"/>
                <w:szCs w:val="18"/>
                <w:lang w:val="sr-Cyrl-CS"/>
              </w:rPr>
            </w:pPr>
            <w:r>
              <w:rPr>
                <w:rFonts w:ascii="Times New Roman" w:hAnsi="Times New Roman" w:cs="Times New Roman"/>
                <w:iCs/>
                <w:sz w:val="18"/>
                <w:szCs w:val="18"/>
                <w:lang w:val="sr-Cyrl-CS"/>
              </w:rPr>
              <w:t>јун</w:t>
            </w:r>
            <w:r w:rsidR="007358DF" w:rsidRPr="00202C33">
              <w:rPr>
                <w:rFonts w:ascii="Times New Roman" w:hAnsi="Times New Roman" w:cs="Times New Roman"/>
                <w:iCs/>
                <w:sz w:val="18"/>
                <w:szCs w:val="18"/>
                <w:lang w:val="sr-Cyrl-CS"/>
              </w:rPr>
              <w:t xml:space="preserve"> </w:t>
            </w:r>
            <w:r>
              <w:rPr>
                <w:rFonts w:ascii="Times New Roman" w:hAnsi="Times New Roman" w:cs="Times New Roman"/>
                <w:iCs/>
                <w:sz w:val="18"/>
                <w:szCs w:val="18"/>
                <w:lang w:val="sr-Cyrl-CS"/>
              </w:rPr>
              <w:t>2018</w:t>
            </w:r>
            <w:r w:rsidR="00E70097" w:rsidRPr="00202C33">
              <w:rPr>
                <w:rFonts w:ascii="Times New Roman" w:hAnsi="Times New Roman" w:cs="Times New Roman"/>
                <w:iCs/>
                <w:sz w:val="18"/>
                <w:szCs w:val="18"/>
                <w:lang w:val="sr-Cyrl-CS"/>
              </w:rPr>
              <w:t xml:space="preserve">. </w:t>
            </w:r>
            <w:r w:rsidR="00093614" w:rsidRPr="00202C33">
              <w:rPr>
                <w:rFonts w:ascii="Times New Roman" w:hAnsi="Times New Roman" w:cs="Times New Roman"/>
                <w:iCs/>
                <w:sz w:val="18"/>
                <w:szCs w:val="18"/>
                <w:lang w:val="sr-Cyrl-CS"/>
              </w:rPr>
              <w:t>године</w:t>
            </w:r>
          </w:p>
        </w:tc>
      </w:tr>
      <w:tr w:rsidR="00202C33" w:rsidRPr="00FF4AF1" w:rsidTr="00360DA2">
        <w:trPr>
          <w:trHeight w:val="917"/>
          <w:jc w:val="center"/>
        </w:trPr>
        <w:tc>
          <w:tcPr>
            <w:tcW w:w="3892" w:type="pct"/>
            <w:gridSpan w:val="6"/>
            <w:tcBorders>
              <w:top w:val="single" w:sz="4" w:space="0" w:color="auto"/>
              <w:left w:val="single" w:sz="4" w:space="0" w:color="auto"/>
              <w:bottom w:val="single" w:sz="4" w:space="0" w:color="auto"/>
              <w:right w:val="single" w:sz="4" w:space="0" w:color="auto"/>
            </w:tcBorders>
          </w:tcPr>
          <w:p w:rsidR="00B04D2F" w:rsidRPr="00202C33" w:rsidRDefault="009C25ED" w:rsidP="00202C33">
            <w:pPr>
              <w:spacing w:before="120"/>
              <w:jc w:val="both"/>
              <w:rPr>
                <w:rStyle w:val="hps"/>
                <w:rFonts w:ascii="Times New Roman" w:hAnsi="Times New Roman" w:cs="Times New Roman"/>
                <w:sz w:val="18"/>
                <w:szCs w:val="18"/>
                <w:lang w:val="sr-Cyrl-CS"/>
              </w:rPr>
            </w:pPr>
            <w:r w:rsidRPr="00202C33">
              <w:rPr>
                <w:rFonts w:ascii="Times New Roman" w:hAnsi="Times New Roman" w:cs="Times New Roman"/>
                <w:sz w:val="18"/>
                <w:szCs w:val="18"/>
                <w:lang w:val="sr-Cyrl-CS"/>
              </w:rPr>
              <w:t>5. Назив (</w:t>
            </w:r>
            <w:r w:rsidR="00B04D2F" w:rsidRPr="00202C33">
              <w:rPr>
                <w:rFonts w:ascii="Times New Roman" w:hAnsi="Times New Roman" w:cs="Times New Roman"/>
                <w:sz w:val="18"/>
                <w:szCs w:val="18"/>
                <w:lang w:val="sr-Cyrl-CS"/>
              </w:rPr>
              <w:t>нацрта, предлога) прописа чије одредбе су предмет анализе усклађености са прописом Е</w:t>
            </w:r>
            <w:r w:rsidR="00881077" w:rsidRPr="00202C33">
              <w:rPr>
                <w:rFonts w:ascii="Times New Roman" w:hAnsi="Times New Roman" w:cs="Times New Roman"/>
                <w:sz w:val="18"/>
                <w:szCs w:val="18"/>
                <w:lang w:val="sr-Cyrl-CS"/>
              </w:rPr>
              <w:t>вропске уније</w:t>
            </w:r>
            <w:r w:rsidR="00B04D2F" w:rsidRPr="00202C33">
              <w:rPr>
                <w:rStyle w:val="hps"/>
                <w:rFonts w:ascii="Times New Roman" w:hAnsi="Times New Roman" w:cs="Times New Roman"/>
                <w:sz w:val="18"/>
                <w:szCs w:val="18"/>
                <w:lang w:val="sr-Cyrl-CS"/>
              </w:rPr>
              <w:t>:</w:t>
            </w:r>
          </w:p>
          <w:p w:rsidR="00B04D2F" w:rsidRPr="00202C33" w:rsidRDefault="00B04D2F" w:rsidP="00202C33">
            <w:pPr>
              <w:spacing w:before="120"/>
              <w:jc w:val="both"/>
              <w:rPr>
                <w:rFonts w:ascii="Times New Roman" w:hAnsi="Times New Roman" w:cs="Times New Roman"/>
                <w:sz w:val="18"/>
                <w:szCs w:val="18"/>
                <w:lang w:val="sr-Cyrl-CS"/>
              </w:rPr>
            </w:pPr>
          </w:p>
        </w:tc>
        <w:tc>
          <w:tcPr>
            <w:tcW w:w="1108" w:type="pct"/>
            <w:gridSpan w:val="2"/>
            <w:tcBorders>
              <w:top w:val="single" w:sz="4" w:space="0" w:color="auto"/>
              <w:left w:val="single" w:sz="4" w:space="0" w:color="auto"/>
              <w:bottom w:val="single" w:sz="4" w:space="0" w:color="auto"/>
              <w:right w:val="single" w:sz="4" w:space="0" w:color="auto"/>
            </w:tcBorders>
          </w:tcPr>
          <w:p w:rsidR="00B04D2F" w:rsidRPr="00202C33" w:rsidRDefault="00B04D2F" w:rsidP="00202C33">
            <w:pPr>
              <w:spacing w:before="120"/>
              <w:jc w:val="both"/>
              <w:rPr>
                <w:rFonts w:ascii="Times New Roman" w:hAnsi="Times New Roman" w:cs="Times New Roman"/>
                <w:iCs/>
                <w:sz w:val="18"/>
                <w:szCs w:val="18"/>
                <w:lang w:val="ru-RU"/>
              </w:rPr>
            </w:pPr>
            <w:r w:rsidRPr="00202C33">
              <w:rPr>
                <w:rFonts w:ascii="Times New Roman" w:hAnsi="Times New Roman" w:cs="Times New Roman"/>
                <w:iCs/>
                <w:sz w:val="18"/>
                <w:szCs w:val="18"/>
                <w:lang w:val="ru-RU"/>
              </w:rPr>
              <w:t>6. Бројчане ознаке (шифре) планираних прописа из базе НПAA</w:t>
            </w:r>
            <w:r w:rsidRPr="00202C33">
              <w:rPr>
                <w:rStyle w:val="hps"/>
                <w:rFonts w:ascii="Times New Roman" w:hAnsi="Times New Roman" w:cs="Times New Roman"/>
                <w:iCs/>
                <w:sz w:val="18"/>
                <w:szCs w:val="18"/>
                <w:lang w:val="ru-RU"/>
              </w:rPr>
              <w:t>:</w:t>
            </w:r>
          </w:p>
          <w:p w:rsidR="00B04D2F" w:rsidRPr="00202C33" w:rsidRDefault="00B04D2F" w:rsidP="00202C33">
            <w:pPr>
              <w:spacing w:before="120"/>
              <w:jc w:val="both"/>
              <w:rPr>
                <w:rFonts w:ascii="Times New Roman" w:hAnsi="Times New Roman" w:cs="Times New Roman"/>
                <w:iCs/>
                <w:sz w:val="18"/>
                <w:szCs w:val="18"/>
                <w:lang w:val="ru-RU"/>
              </w:rPr>
            </w:pPr>
          </w:p>
        </w:tc>
      </w:tr>
      <w:tr w:rsidR="00202C33" w:rsidRPr="00202C33" w:rsidTr="00360DA2">
        <w:trPr>
          <w:jc w:val="center"/>
        </w:trPr>
        <w:tc>
          <w:tcPr>
            <w:tcW w:w="3892" w:type="pct"/>
            <w:gridSpan w:val="6"/>
            <w:tcBorders>
              <w:top w:val="single" w:sz="4" w:space="0" w:color="auto"/>
              <w:left w:val="single" w:sz="4" w:space="0" w:color="auto"/>
              <w:bottom w:val="single" w:sz="4" w:space="0" w:color="auto"/>
              <w:right w:val="single" w:sz="4" w:space="0" w:color="auto"/>
            </w:tcBorders>
          </w:tcPr>
          <w:p w:rsidR="002706C7" w:rsidRPr="00202C33" w:rsidRDefault="005E457D" w:rsidP="00202C33">
            <w:pPr>
              <w:spacing w:before="120"/>
              <w:jc w:val="both"/>
              <w:rPr>
                <w:rFonts w:ascii="Times New Roman" w:hAnsi="Times New Roman" w:cs="Times New Roman"/>
                <w:sz w:val="18"/>
                <w:szCs w:val="18"/>
                <w:lang w:val="sr-Cyrl-CS"/>
              </w:rPr>
            </w:pPr>
            <w:r>
              <w:rPr>
                <w:rStyle w:val="hps"/>
                <w:rFonts w:ascii="Times New Roman" w:hAnsi="Times New Roman" w:cs="Times New Roman"/>
                <w:sz w:val="18"/>
                <w:szCs w:val="18"/>
                <w:lang w:val="sr-Cyrl-CS"/>
              </w:rPr>
              <w:t>Предлог з</w:t>
            </w:r>
            <w:r w:rsidR="002706C7" w:rsidRPr="00202C33">
              <w:rPr>
                <w:rStyle w:val="hps"/>
                <w:rFonts w:ascii="Times New Roman" w:hAnsi="Times New Roman" w:cs="Times New Roman"/>
                <w:sz w:val="18"/>
                <w:szCs w:val="18"/>
                <w:lang w:val="sr-Cyrl-CS"/>
              </w:rPr>
              <w:t>акона о грађевинским производима</w:t>
            </w:r>
          </w:p>
          <w:p w:rsidR="00B04D2F" w:rsidRPr="00661F43" w:rsidRDefault="00661F43" w:rsidP="00202C33">
            <w:pPr>
              <w:spacing w:before="120"/>
              <w:jc w:val="both"/>
              <w:rPr>
                <w:rFonts w:ascii="Times New Roman" w:hAnsi="Times New Roman" w:cs="Times New Roman"/>
                <w:sz w:val="18"/>
                <w:szCs w:val="18"/>
                <w:lang w:val="sr-Cyrl-CS"/>
              </w:rPr>
            </w:pPr>
            <w:r w:rsidRPr="00661F43">
              <w:rPr>
                <w:rFonts w:ascii="Times New Roman" w:hAnsi="Times New Roman" w:cs="Times New Roman"/>
                <w:sz w:val="18"/>
                <w:szCs w:val="18"/>
                <w:lang w:val="en"/>
              </w:rPr>
              <w:t>The draft law on construction products</w:t>
            </w:r>
          </w:p>
        </w:tc>
        <w:tc>
          <w:tcPr>
            <w:tcW w:w="1108" w:type="pct"/>
            <w:gridSpan w:val="2"/>
            <w:tcBorders>
              <w:top w:val="single" w:sz="4" w:space="0" w:color="auto"/>
              <w:left w:val="single" w:sz="4" w:space="0" w:color="auto"/>
              <w:bottom w:val="single" w:sz="4" w:space="0" w:color="auto"/>
              <w:right w:val="single" w:sz="4" w:space="0" w:color="auto"/>
            </w:tcBorders>
            <w:vAlign w:val="center"/>
          </w:tcPr>
          <w:p w:rsidR="00B04D2F" w:rsidRPr="00202C33" w:rsidRDefault="008462ED" w:rsidP="00202C33">
            <w:pPr>
              <w:spacing w:before="120"/>
              <w:rPr>
                <w:rFonts w:ascii="Times New Roman" w:hAnsi="Times New Roman" w:cs="Times New Roman"/>
                <w:iCs/>
                <w:sz w:val="18"/>
                <w:szCs w:val="18"/>
                <w:lang w:val="ru-RU"/>
              </w:rPr>
            </w:pPr>
            <w:r w:rsidRPr="00202C33">
              <w:rPr>
                <w:rFonts w:ascii="Times New Roman" w:hAnsi="Times New Roman" w:cs="Times New Roman"/>
                <w:iCs/>
                <w:sz w:val="18"/>
                <w:szCs w:val="18"/>
                <w:lang w:val="ru-RU"/>
              </w:rPr>
              <w:t>2016-555</w:t>
            </w:r>
          </w:p>
        </w:tc>
      </w:tr>
      <w:tr w:rsidR="00202C33" w:rsidRPr="00202C33" w:rsidTr="007F37A6">
        <w:trPr>
          <w:jc w:val="center"/>
        </w:trPr>
        <w:tc>
          <w:tcPr>
            <w:tcW w:w="5000" w:type="pct"/>
            <w:gridSpan w:val="8"/>
          </w:tcPr>
          <w:p w:rsidR="00B04D2F" w:rsidRPr="00202C33" w:rsidRDefault="00B04D2F" w:rsidP="00202C33">
            <w:pPr>
              <w:spacing w:before="120"/>
              <w:jc w:val="both"/>
              <w:rPr>
                <w:rFonts w:ascii="Times New Roman" w:hAnsi="Times New Roman" w:cs="Times New Roman"/>
                <w:sz w:val="18"/>
                <w:szCs w:val="18"/>
                <w:lang w:val="sr-Cyrl-CS"/>
              </w:rPr>
            </w:pPr>
            <w:r w:rsidRPr="00202C33">
              <w:rPr>
                <w:rFonts w:ascii="Times New Roman" w:hAnsi="Times New Roman" w:cs="Times New Roman"/>
                <w:b/>
                <w:sz w:val="18"/>
                <w:szCs w:val="18"/>
                <w:lang w:val="sr-Cyrl-CS"/>
              </w:rPr>
              <w:t>7.</w:t>
            </w:r>
            <w:r w:rsidRPr="00202C33">
              <w:rPr>
                <w:rFonts w:ascii="Times New Roman" w:hAnsi="Times New Roman" w:cs="Times New Roman"/>
                <w:sz w:val="18"/>
                <w:szCs w:val="18"/>
                <w:lang w:val="sr-Cyrl-CS"/>
              </w:rPr>
              <w:t xml:space="preserve"> Усклађеност одредби прописа са одредбама прописа ЕУ:</w:t>
            </w:r>
          </w:p>
        </w:tc>
      </w:tr>
      <w:tr w:rsidR="00202C33" w:rsidRPr="00202C33" w:rsidTr="00202C33">
        <w:trPr>
          <w:trHeight w:val="652"/>
          <w:jc w:val="center"/>
        </w:trPr>
        <w:tc>
          <w:tcPr>
            <w:tcW w:w="439" w:type="pct"/>
            <w:shd w:val="clear" w:color="auto" w:fill="D9D9D9" w:themeFill="background1" w:themeFillShade="D9"/>
            <w:vAlign w:val="center"/>
          </w:tcPr>
          <w:p w:rsidR="00B04D2F" w:rsidRPr="00202C33" w:rsidRDefault="00B04D2F" w:rsidP="00202C33">
            <w:pPr>
              <w:spacing w:before="120"/>
              <w:ind w:firstLine="5"/>
              <w:jc w:val="center"/>
              <w:rPr>
                <w:rFonts w:ascii="Times New Roman" w:hAnsi="Times New Roman" w:cs="Times New Roman"/>
                <w:sz w:val="18"/>
                <w:szCs w:val="18"/>
              </w:rPr>
            </w:pPr>
            <w:r w:rsidRPr="00202C33">
              <w:rPr>
                <w:rFonts w:ascii="Times New Roman" w:hAnsi="Times New Roman" w:cs="Times New Roman"/>
                <w:sz w:val="18"/>
                <w:szCs w:val="18"/>
                <w:lang w:val="sr-Cyrl-CS"/>
              </w:rPr>
              <w:t>а</w:t>
            </w:r>
            <w:r w:rsidRPr="00202C33">
              <w:rPr>
                <w:rFonts w:ascii="Times New Roman" w:hAnsi="Times New Roman" w:cs="Times New Roman"/>
                <w:sz w:val="18"/>
                <w:szCs w:val="18"/>
              </w:rPr>
              <w:t>)</w:t>
            </w:r>
          </w:p>
        </w:tc>
        <w:tc>
          <w:tcPr>
            <w:tcW w:w="1229" w:type="pct"/>
            <w:shd w:val="clear" w:color="auto" w:fill="D9D9D9" w:themeFill="background1" w:themeFillShade="D9"/>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а</w:t>
            </w:r>
            <w:r w:rsidRPr="00202C33">
              <w:rPr>
                <w:rFonts w:ascii="Times New Roman" w:hAnsi="Times New Roman" w:cs="Times New Roman"/>
                <w:sz w:val="18"/>
                <w:szCs w:val="18"/>
              </w:rPr>
              <w:t>1)</w:t>
            </w:r>
          </w:p>
        </w:tc>
        <w:tc>
          <w:tcPr>
            <w:tcW w:w="397"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б</w:t>
            </w:r>
            <w:r w:rsidRPr="00202C33">
              <w:rPr>
                <w:rFonts w:ascii="Times New Roman" w:hAnsi="Times New Roman" w:cs="Times New Roman"/>
                <w:sz w:val="18"/>
                <w:szCs w:val="18"/>
              </w:rPr>
              <w:t>)</w:t>
            </w:r>
          </w:p>
        </w:tc>
        <w:tc>
          <w:tcPr>
            <w:tcW w:w="1232"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б</w:t>
            </w:r>
            <w:r w:rsidRPr="00202C33">
              <w:rPr>
                <w:rFonts w:ascii="Times New Roman" w:hAnsi="Times New Roman" w:cs="Times New Roman"/>
                <w:sz w:val="18"/>
                <w:szCs w:val="18"/>
              </w:rPr>
              <w:t>1)</w:t>
            </w:r>
          </w:p>
        </w:tc>
        <w:tc>
          <w:tcPr>
            <w:tcW w:w="463"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в</w:t>
            </w:r>
            <w:r w:rsidRPr="00202C33">
              <w:rPr>
                <w:rFonts w:ascii="Times New Roman" w:hAnsi="Times New Roman" w:cs="Times New Roman"/>
                <w:sz w:val="18"/>
                <w:szCs w:val="18"/>
              </w:rPr>
              <w:t>)</w:t>
            </w:r>
          </w:p>
        </w:tc>
        <w:tc>
          <w:tcPr>
            <w:tcW w:w="729" w:type="pct"/>
            <w:gridSpan w:val="2"/>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г</w:t>
            </w:r>
            <w:r w:rsidRPr="00202C33">
              <w:rPr>
                <w:rFonts w:ascii="Times New Roman" w:hAnsi="Times New Roman" w:cs="Times New Roman"/>
                <w:sz w:val="18"/>
                <w:szCs w:val="18"/>
              </w:rPr>
              <w:t>)</w:t>
            </w:r>
          </w:p>
        </w:tc>
        <w:tc>
          <w:tcPr>
            <w:tcW w:w="511" w:type="pct"/>
            <w:vAlign w:val="center"/>
          </w:tcPr>
          <w:p w:rsidR="00B04D2F" w:rsidRPr="00202C33" w:rsidRDefault="00B04D2F" w:rsidP="00202C33">
            <w:pPr>
              <w:spacing w:before="120"/>
              <w:jc w:val="center"/>
              <w:rPr>
                <w:rFonts w:ascii="Times New Roman" w:hAnsi="Times New Roman" w:cs="Times New Roman"/>
                <w:sz w:val="18"/>
                <w:szCs w:val="18"/>
              </w:rPr>
            </w:pPr>
          </w:p>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д</w:t>
            </w:r>
            <w:r w:rsidRPr="00202C33">
              <w:rPr>
                <w:rFonts w:ascii="Times New Roman" w:hAnsi="Times New Roman" w:cs="Times New Roman"/>
                <w:sz w:val="18"/>
                <w:szCs w:val="18"/>
              </w:rPr>
              <w:t>)</w:t>
            </w:r>
          </w:p>
        </w:tc>
      </w:tr>
      <w:tr w:rsidR="00202C33" w:rsidRPr="00202C33" w:rsidTr="00202C33">
        <w:trPr>
          <w:trHeight w:val="1970"/>
          <w:jc w:val="center"/>
        </w:trPr>
        <w:tc>
          <w:tcPr>
            <w:tcW w:w="439" w:type="pct"/>
            <w:shd w:val="clear" w:color="auto" w:fill="D9D9D9" w:themeFill="background1" w:themeFillShade="D9"/>
            <w:vAlign w:val="center"/>
          </w:tcPr>
          <w:p w:rsidR="00B04D2F" w:rsidRPr="00202C33" w:rsidRDefault="00B04D2F" w:rsidP="00202C33">
            <w:pPr>
              <w:spacing w:before="120"/>
              <w:jc w:val="center"/>
              <w:rPr>
                <w:rFonts w:ascii="Times New Roman" w:hAnsi="Times New Roman" w:cs="Times New Roman"/>
                <w:sz w:val="18"/>
                <w:szCs w:val="18"/>
                <w:lang w:val="fr-FR"/>
              </w:rPr>
            </w:pPr>
            <w:r w:rsidRPr="00202C33">
              <w:rPr>
                <w:rFonts w:ascii="Times New Roman" w:hAnsi="Times New Roman" w:cs="Times New Roman"/>
                <w:sz w:val="18"/>
                <w:szCs w:val="18"/>
                <w:lang w:val="ru-RU"/>
              </w:rPr>
              <w:t xml:space="preserve">Одредба прописа ЕУ </w:t>
            </w:r>
          </w:p>
          <w:p w:rsidR="00B04D2F" w:rsidRPr="00202C33" w:rsidRDefault="00B04D2F" w:rsidP="00202C33">
            <w:pPr>
              <w:spacing w:before="120"/>
              <w:ind w:firstLine="5"/>
              <w:jc w:val="center"/>
              <w:rPr>
                <w:rFonts w:ascii="Times New Roman" w:hAnsi="Times New Roman" w:cs="Times New Roman"/>
                <w:sz w:val="18"/>
                <w:szCs w:val="18"/>
                <w:lang w:val="fr-FR"/>
              </w:rPr>
            </w:pPr>
          </w:p>
        </w:tc>
        <w:tc>
          <w:tcPr>
            <w:tcW w:w="1229" w:type="pct"/>
            <w:shd w:val="clear" w:color="auto" w:fill="D9D9D9" w:themeFill="background1" w:themeFillShade="D9"/>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 xml:space="preserve">Садржина </w:t>
            </w:r>
            <w:r w:rsidRPr="00202C33">
              <w:rPr>
                <w:rFonts w:ascii="Times New Roman" w:hAnsi="Times New Roman" w:cs="Times New Roman"/>
                <w:sz w:val="18"/>
                <w:szCs w:val="18"/>
                <w:lang w:val="hr-HR"/>
              </w:rPr>
              <w:t>одредбе</w:t>
            </w:r>
            <w:r w:rsidRPr="00202C33" w:rsidDel="00C32699">
              <w:rPr>
                <w:rFonts w:ascii="Times New Roman" w:hAnsi="Times New Roman" w:cs="Times New Roman"/>
                <w:sz w:val="18"/>
                <w:szCs w:val="18"/>
              </w:rPr>
              <w:t xml:space="preserve"> </w:t>
            </w:r>
          </w:p>
        </w:tc>
        <w:tc>
          <w:tcPr>
            <w:tcW w:w="397" w:type="pct"/>
            <w:vAlign w:val="center"/>
          </w:tcPr>
          <w:p w:rsidR="00B04D2F" w:rsidRPr="00202C33" w:rsidRDefault="00B04D2F" w:rsidP="00202C33">
            <w:pPr>
              <w:spacing w:before="120"/>
              <w:ind w:firstLine="5"/>
              <w:rPr>
                <w:rFonts w:ascii="Times New Roman" w:hAnsi="Times New Roman" w:cs="Times New Roman"/>
                <w:sz w:val="18"/>
                <w:szCs w:val="18"/>
                <w:lang w:val="ru-RU"/>
              </w:rPr>
            </w:pPr>
            <w:r w:rsidRPr="00202C33">
              <w:rPr>
                <w:rFonts w:ascii="Times New Roman" w:hAnsi="Times New Roman" w:cs="Times New Roman"/>
                <w:sz w:val="18"/>
                <w:szCs w:val="18"/>
                <w:lang w:val="ru-RU"/>
              </w:rPr>
              <w:t>Одредбе прописа</w:t>
            </w:r>
            <w:r w:rsidR="00812EC4" w:rsidRPr="00202C33">
              <w:rPr>
                <w:rFonts w:ascii="Times New Roman" w:hAnsi="Times New Roman" w:cs="Times New Roman"/>
                <w:sz w:val="18"/>
                <w:szCs w:val="18"/>
                <w:lang w:val="ru-RU"/>
              </w:rPr>
              <w:t xml:space="preserve"> Р</w:t>
            </w:r>
            <w:r w:rsidR="00881077" w:rsidRPr="00202C33">
              <w:rPr>
                <w:rFonts w:ascii="Times New Roman" w:hAnsi="Times New Roman" w:cs="Times New Roman"/>
                <w:sz w:val="18"/>
                <w:szCs w:val="18"/>
                <w:lang w:val="ru-RU"/>
              </w:rPr>
              <w:t xml:space="preserve">епублике </w:t>
            </w:r>
            <w:r w:rsidR="00812EC4" w:rsidRPr="00202C33">
              <w:rPr>
                <w:rFonts w:ascii="Times New Roman" w:hAnsi="Times New Roman" w:cs="Times New Roman"/>
                <w:sz w:val="18"/>
                <w:szCs w:val="18"/>
                <w:lang w:val="ru-RU"/>
              </w:rPr>
              <w:t>С</w:t>
            </w:r>
            <w:r w:rsidR="00881077" w:rsidRPr="00202C33">
              <w:rPr>
                <w:rFonts w:ascii="Times New Roman" w:hAnsi="Times New Roman" w:cs="Times New Roman"/>
                <w:sz w:val="18"/>
                <w:szCs w:val="18"/>
                <w:lang w:val="ru-RU"/>
              </w:rPr>
              <w:t>рбије</w:t>
            </w:r>
          </w:p>
          <w:p w:rsidR="00B04D2F" w:rsidRPr="00202C33" w:rsidRDefault="00B04D2F" w:rsidP="00202C33">
            <w:pPr>
              <w:spacing w:before="120"/>
              <w:rPr>
                <w:rFonts w:ascii="Times New Roman" w:hAnsi="Times New Roman" w:cs="Times New Roman"/>
                <w:sz w:val="18"/>
                <w:szCs w:val="18"/>
              </w:rPr>
            </w:pPr>
          </w:p>
        </w:tc>
        <w:tc>
          <w:tcPr>
            <w:tcW w:w="1232" w:type="pct"/>
            <w:vAlign w:val="center"/>
          </w:tcPr>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 xml:space="preserve">Садржина </w:t>
            </w:r>
            <w:r w:rsidRPr="00202C33">
              <w:rPr>
                <w:rFonts w:ascii="Times New Roman" w:hAnsi="Times New Roman" w:cs="Times New Roman"/>
                <w:sz w:val="18"/>
                <w:szCs w:val="18"/>
                <w:lang w:val="hr-HR"/>
              </w:rPr>
              <w:t>одредбе</w:t>
            </w:r>
            <w:r w:rsidRPr="00202C33" w:rsidDel="00C32699">
              <w:rPr>
                <w:rFonts w:ascii="Times New Roman" w:hAnsi="Times New Roman" w:cs="Times New Roman"/>
                <w:sz w:val="18"/>
                <w:szCs w:val="18"/>
              </w:rPr>
              <w:t xml:space="preserve"> </w:t>
            </w:r>
          </w:p>
        </w:tc>
        <w:tc>
          <w:tcPr>
            <w:tcW w:w="463" w:type="pct"/>
            <w:vAlign w:val="center"/>
          </w:tcPr>
          <w:p w:rsidR="00B04D2F" w:rsidRPr="00202C33" w:rsidRDefault="00B04D2F" w:rsidP="00202C33">
            <w:pPr>
              <w:spacing w:before="120"/>
              <w:rPr>
                <w:rFonts w:ascii="Times New Roman" w:hAnsi="Times New Roman" w:cs="Times New Roman"/>
                <w:sz w:val="18"/>
                <w:szCs w:val="18"/>
              </w:rPr>
            </w:pPr>
            <w:r w:rsidRPr="00202C33">
              <w:rPr>
                <w:rFonts w:ascii="Times New Roman" w:hAnsi="Times New Roman" w:cs="Times New Roman"/>
                <w:sz w:val="18"/>
                <w:szCs w:val="18"/>
              </w:rPr>
              <w:t xml:space="preserve">      </w:t>
            </w:r>
          </w:p>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ru-RU"/>
              </w:rPr>
              <w:t>Усклађенос</w:t>
            </w:r>
            <w:r w:rsidR="00812EC4" w:rsidRPr="00202C33">
              <w:rPr>
                <w:rFonts w:ascii="Times New Roman" w:hAnsi="Times New Roman" w:cs="Times New Roman"/>
                <w:sz w:val="18"/>
                <w:szCs w:val="18"/>
                <w:lang w:val="ru-RU"/>
              </w:rPr>
              <w:t>т</w:t>
            </w:r>
            <w:r w:rsidRPr="00202C33">
              <w:rPr>
                <w:rFonts w:ascii="Times New Roman" w:hAnsi="Times New Roman" w:cs="Times New Roman"/>
                <w:sz w:val="18"/>
                <w:szCs w:val="18"/>
              </w:rPr>
              <w:t xml:space="preserve"> </w:t>
            </w:r>
          </w:p>
          <w:p w:rsidR="00B04D2F" w:rsidRPr="00202C33" w:rsidRDefault="00881077"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(Потпуно усклађено</w:t>
            </w:r>
            <w:r w:rsidRPr="00202C33">
              <w:rPr>
                <w:rFonts w:ascii="Times New Roman" w:hAnsi="Times New Roman" w:cs="Times New Roman"/>
                <w:sz w:val="18"/>
                <w:szCs w:val="18"/>
                <w:lang w:val="sr-Latn-CS"/>
              </w:rPr>
              <w:t xml:space="preserve"> - </w:t>
            </w:r>
            <w:r w:rsidRPr="00202C33">
              <w:rPr>
                <w:rFonts w:ascii="Times New Roman" w:hAnsi="Times New Roman" w:cs="Times New Roman"/>
                <w:sz w:val="18"/>
                <w:szCs w:val="18"/>
                <w:lang w:val="sr-Cyrl-CS"/>
              </w:rPr>
              <w:t xml:space="preserve">ПУ, делимично усклађено - ДУ, неусклађено - НУ, </w:t>
            </w:r>
            <w:r w:rsidRPr="00202C33">
              <w:rPr>
                <w:rFonts w:ascii="Times New Roman" w:hAnsi="Times New Roman" w:cs="Times New Roman"/>
                <w:sz w:val="18"/>
                <w:szCs w:val="18"/>
                <w:lang w:val="sr-Cyrl-CS"/>
              </w:rPr>
              <w:lastRenderedPageBreak/>
              <w:t>непреносиво – НП)</w:t>
            </w:r>
          </w:p>
        </w:tc>
        <w:tc>
          <w:tcPr>
            <w:tcW w:w="729" w:type="pct"/>
            <w:gridSpan w:val="2"/>
            <w:vAlign w:val="center"/>
          </w:tcPr>
          <w:p w:rsidR="00B04D2F" w:rsidRPr="00202C33" w:rsidRDefault="00B04D2F" w:rsidP="00202C33">
            <w:pPr>
              <w:spacing w:before="120"/>
              <w:ind w:firstLine="21"/>
              <w:jc w:val="center"/>
              <w:rPr>
                <w:rFonts w:ascii="Times New Roman" w:hAnsi="Times New Roman" w:cs="Times New Roman"/>
                <w:sz w:val="18"/>
                <w:szCs w:val="18"/>
              </w:rPr>
            </w:pPr>
            <w:r w:rsidRPr="00202C33">
              <w:rPr>
                <w:rFonts w:ascii="Times New Roman" w:hAnsi="Times New Roman" w:cs="Times New Roman"/>
                <w:sz w:val="18"/>
                <w:szCs w:val="18"/>
                <w:lang w:val="ru-RU"/>
              </w:rPr>
              <w:lastRenderedPageBreak/>
              <w:t>Разлози за д</w:t>
            </w:r>
            <w:r w:rsidRPr="00202C33">
              <w:rPr>
                <w:rFonts w:ascii="Times New Roman" w:hAnsi="Times New Roman" w:cs="Times New Roman"/>
                <w:sz w:val="18"/>
                <w:szCs w:val="18"/>
                <w:lang w:val="sr-Cyrl-CS"/>
              </w:rPr>
              <w:t xml:space="preserve">елимичну </w:t>
            </w:r>
            <w:r w:rsidRPr="00202C33">
              <w:rPr>
                <w:rFonts w:ascii="Times New Roman" w:hAnsi="Times New Roman" w:cs="Times New Roman"/>
                <w:sz w:val="18"/>
                <w:szCs w:val="18"/>
                <w:lang w:val="ru-RU"/>
              </w:rPr>
              <w:t>усклађеност, неусклађеност или непреносивост</w:t>
            </w:r>
            <w:r w:rsidRPr="00202C33" w:rsidDel="00C32699">
              <w:rPr>
                <w:rFonts w:ascii="Times New Roman" w:hAnsi="Times New Roman" w:cs="Times New Roman"/>
                <w:sz w:val="18"/>
                <w:szCs w:val="18"/>
              </w:rPr>
              <w:t xml:space="preserve"> </w:t>
            </w:r>
          </w:p>
        </w:tc>
        <w:tc>
          <w:tcPr>
            <w:tcW w:w="511" w:type="pct"/>
            <w:vAlign w:val="center"/>
          </w:tcPr>
          <w:p w:rsidR="00B04D2F" w:rsidRPr="00202C33" w:rsidRDefault="00B04D2F" w:rsidP="00202C33">
            <w:pPr>
              <w:spacing w:before="120"/>
              <w:jc w:val="center"/>
              <w:rPr>
                <w:rFonts w:ascii="Times New Roman" w:hAnsi="Times New Roman" w:cs="Times New Roman"/>
                <w:sz w:val="18"/>
                <w:szCs w:val="18"/>
              </w:rPr>
            </w:pPr>
          </w:p>
          <w:p w:rsidR="00B04D2F" w:rsidRPr="00202C33" w:rsidRDefault="00B04D2F"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lang w:val="sr-Cyrl-CS"/>
              </w:rPr>
              <w:t xml:space="preserve">Напомена о усклађености </w:t>
            </w:r>
          </w:p>
        </w:tc>
      </w:tr>
      <w:tr w:rsidR="00202C33" w:rsidRPr="00202C33" w:rsidTr="00E71618">
        <w:trPr>
          <w:trHeight w:val="985"/>
          <w:jc w:val="center"/>
        </w:trPr>
        <w:tc>
          <w:tcPr>
            <w:tcW w:w="439" w:type="pct"/>
            <w:shd w:val="clear" w:color="auto" w:fill="D9D9D9" w:themeFill="background1" w:themeFillShade="D9"/>
            <w:vAlign w:val="center"/>
          </w:tcPr>
          <w:p w:rsidR="00093614" w:rsidRPr="00202C33" w:rsidRDefault="00E36C56" w:rsidP="00202C33">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lang w:val="sr-Latn-CS"/>
              </w:rPr>
              <w:lastRenderedPageBreak/>
              <w:t>1.</w:t>
            </w:r>
          </w:p>
        </w:tc>
        <w:tc>
          <w:tcPr>
            <w:tcW w:w="1229" w:type="pct"/>
            <w:shd w:val="clear" w:color="auto" w:fill="D9D9D9" w:themeFill="background1" w:themeFillShade="D9"/>
            <w:vAlign w:val="center"/>
          </w:tcPr>
          <w:p w:rsidR="00C57C45" w:rsidRPr="00E71618" w:rsidRDefault="00E36C56" w:rsidP="00E71618">
            <w:pPr>
              <w:pStyle w:val="Normal2"/>
              <w:spacing w:before="120" w:beforeAutospacing="0" w:after="0" w:afterAutospacing="0"/>
              <w:jc w:val="both"/>
              <w:rPr>
                <w:sz w:val="18"/>
                <w:szCs w:val="18"/>
              </w:rPr>
            </w:pPr>
            <w:r w:rsidRPr="00202C33">
              <w:rPr>
                <w:sz w:val="18"/>
                <w:szCs w:val="18"/>
              </w:rPr>
              <w:t>Annex III to Regulation (EU) No 305/2011 shall be replaced by the Annex to this Regulation.</w:t>
            </w:r>
          </w:p>
        </w:tc>
        <w:tc>
          <w:tcPr>
            <w:tcW w:w="397" w:type="pct"/>
            <w:vAlign w:val="center"/>
          </w:tcPr>
          <w:p w:rsidR="00093614" w:rsidRPr="00202C33" w:rsidRDefault="00093614" w:rsidP="00202C33">
            <w:pPr>
              <w:spacing w:before="120"/>
              <w:ind w:firstLine="5"/>
              <w:jc w:val="center"/>
              <w:rPr>
                <w:rFonts w:ascii="Times New Roman" w:hAnsi="Times New Roman" w:cs="Times New Roman"/>
                <w:sz w:val="18"/>
                <w:szCs w:val="18"/>
                <w:lang w:val="sr-Cyrl-CS"/>
              </w:rPr>
            </w:pPr>
          </w:p>
        </w:tc>
        <w:tc>
          <w:tcPr>
            <w:tcW w:w="1232" w:type="pct"/>
            <w:vAlign w:val="center"/>
          </w:tcPr>
          <w:p w:rsidR="00C57C45" w:rsidRPr="00202C33" w:rsidRDefault="00C57C45" w:rsidP="00202C33">
            <w:pPr>
              <w:spacing w:before="120"/>
              <w:jc w:val="both"/>
              <w:rPr>
                <w:rFonts w:ascii="Times New Roman" w:hAnsi="Times New Roman" w:cs="Times New Roman"/>
                <w:sz w:val="18"/>
                <w:szCs w:val="18"/>
                <w:lang w:val="sr-Cyrl-CS"/>
              </w:rPr>
            </w:pPr>
          </w:p>
        </w:tc>
        <w:tc>
          <w:tcPr>
            <w:tcW w:w="463" w:type="pct"/>
            <w:vAlign w:val="center"/>
          </w:tcPr>
          <w:p w:rsidR="00093614" w:rsidRPr="00202C33" w:rsidRDefault="00E71618"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НП</w:t>
            </w:r>
          </w:p>
        </w:tc>
        <w:tc>
          <w:tcPr>
            <w:tcW w:w="729" w:type="pct"/>
            <w:gridSpan w:val="2"/>
            <w:vAlign w:val="center"/>
          </w:tcPr>
          <w:p w:rsidR="00093614" w:rsidRPr="00202C33" w:rsidRDefault="00093614" w:rsidP="00202C33">
            <w:pPr>
              <w:spacing w:before="120"/>
              <w:ind w:firstLine="21"/>
              <w:jc w:val="center"/>
              <w:rPr>
                <w:rFonts w:ascii="Times New Roman" w:hAnsi="Times New Roman" w:cs="Times New Roman"/>
                <w:sz w:val="18"/>
                <w:szCs w:val="18"/>
                <w:lang w:val="ru-RU"/>
              </w:rPr>
            </w:pPr>
          </w:p>
        </w:tc>
        <w:tc>
          <w:tcPr>
            <w:tcW w:w="511" w:type="pct"/>
            <w:vAlign w:val="center"/>
          </w:tcPr>
          <w:p w:rsidR="00093614" w:rsidRPr="00202C33" w:rsidRDefault="00093614" w:rsidP="00202C33">
            <w:pPr>
              <w:spacing w:before="120"/>
              <w:jc w:val="center"/>
              <w:rPr>
                <w:rFonts w:ascii="Times New Roman" w:hAnsi="Times New Roman" w:cs="Times New Roman"/>
                <w:sz w:val="18"/>
                <w:szCs w:val="18"/>
              </w:rPr>
            </w:pPr>
          </w:p>
        </w:tc>
      </w:tr>
      <w:tr w:rsidR="00202C33" w:rsidRPr="00202C33" w:rsidTr="00E71618">
        <w:trPr>
          <w:trHeight w:val="1553"/>
          <w:jc w:val="center"/>
        </w:trPr>
        <w:tc>
          <w:tcPr>
            <w:tcW w:w="439" w:type="pct"/>
            <w:shd w:val="clear" w:color="auto" w:fill="D9D9D9" w:themeFill="background1" w:themeFillShade="D9"/>
            <w:vAlign w:val="center"/>
          </w:tcPr>
          <w:p w:rsidR="00425B2E" w:rsidRPr="00202C33" w:rsidRDefault="00E36C56"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2.</w:t>
            </w:r>
          </w:p>
        </w:tc>
        <w:tc>
          <w:tcPr>
            <w:tcW w:w="1229" w:type="pct"/>
            <w:shd w:val="clear" w:color="auto" w:fill="D9D9D9" w:themeFill="background1" w:themeFillShade="D9"/>
            <w:vAlign w:val="center"/>
          </w:tcPr>
          <w:p w:rsidR="00C57C45" w:rsidRPr="00202C33" w:rsidRDefault="00E36C56" w:rsidP="00202C33">
            <w:pPr>
              <w:pStyle w:val="Normal2"/>
              <w:spacing w:before="120" w:beforeAutospacing="0" w:after="0" w:afterAutospacing="0"/>
              <w:jc w:val="both"/>
              <w:rPr>
                <w:sz w:val="18"/>
                <w:szCs w:val="18"/>
                <w:lang w:val="sr-Cyrl-CS"/>
              </w:rPr>
            </w:pPr>
            <w:r w:rsidRPr="00202C33">
              <w:rPr>
                <w:sz w:val="18"/>
                <w:szCs w:val="18"/>
              </w:rPr>
              <w:t>Declarations of performance issued before the entry into force of this Regulation, which comply with Article 6 of Regulation (EU) No 305/2011 and the initial Annex III thereto, shall be deemed to comply with this Regulation.</w:t>
            </w:r>
          </w:p>
        </w:tc>
        <w:tc>
          <w:tcPr>
            <w:tcW w:w="397" w:type="pct"/>
            <w:vAlign w:val="center"/>
          </w:tcPr>
          <w:p w:rsidR="00425B2E" w:rsidRPr="00202C33" w:rsidRDefault="00425B2E" w:rsidP="00202C33">
            <w:pPr>
              <w:spacing w:before="120"/>
              <w:ind w:firstLine="5"/>
              <w:jc w:val="center"/>
              <w:rPr>
                <w:rFonts w:ascii="Times New Roman" w:hAnsi="Times New Roman" w:cs="Times New Roman"/>
                <w:sz w:val="18"/>
                <w:szCs w:val="18"/>
                <w:lang w:val="sr-Cyrl-CS"/>
              </w:rPr>
            </w:pPr>
          </w:p>
        </w:tc>
        <w:tc>
          <w:tcPr>
            <w:tcW w:w="1232" w:type="pct"/>
            <w:vAlign w:val="center"/>
          </w:tcPr>
          <w:p w:rsidR="00C57C45" w:rsidRPr="00202C33" w:rsidRDefault="00C57C45" w:rsidP="00202C33">
            <w:pPr>
              <w:spacing w:before="120"/>
              <w:ind w:left="361"/>
              <w:jc w:val="both"/>
              <w:rPr>
                <w:rFonts w:ascii="Times New Roman" w:hAnsi="Times New Roman" w:cs="Times New Roman"/>
                <w:sz w:val="18"/>
                <w:szCs w:val="18"/>
                <w:lang w:val="sr-Cyrl-CS"/>
              </w:rPr>
            </w:pPr>
          </w:p>
        </w:tc>
        <w:tc>
          <w:tcPr>
            <w:tcW w:w="463" w:type="pct"/>
            <w:vAlign w:val="center"/>
          </w:tcPr>
          <w:p w:rsidR="00425B2E" w:rsidRPr="00202C33" w:rsidRDefault="00E71618"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НП</w:t>
            </w:r>
          </w:p>
        </w:tc>
        <w:tc>
          <w:tcPr>
            <w:tcW w:w="729" w:type="pct"/>
            <w:gridSpan w:val="2"/>
            <w:vAlign w:val="center"/>
          </w:tcPr>
          <w:p w:rsidR="00425B2E" w:rsidRPr="00202C33" w:rsidRDefault="00425B2E" w:rsidP="00202C33">
            <w:pPr>
              <w:spacing w:before="120"/>
              <w:ind w:firstLine="21"/>
              <w:jc w:val="center"/>
              <w:rPr>
                <w:rFonts w:ascii="Times New Roman" w:hAnsi="Times New Roman" w:cs="Times New Roman"/>
                <w:sz w:val="18"/>
                <w:szCs w:val="18"/>
                <w:lang w:val="ru-RU"/>
              </w:rPr>
            </w:pPr>
          </w:p>
        </w:tc>
        <w:tc>
          <w:tcPr>
            <w:tcW w:w="511" w:type="pct"/>
            <w:vAlign w:val="center"/>
          </w:tcPr>
          <w:p w:rsidR="00425B2E" w:rsidRPr="00202C33" w:rsidRDefault="00425B2E" w:rsidP="00202C33">
            <w:pPr>
              <w:spacing w:before="120"/>
              <w:jc w:val="center"/>
              <w:rPr>
                <w:rFonts w:ascii="Times New Roman" w:hAnsi="Times New Roman" w:cs="Times New Roman"/>
                <w:sz w:val="18"/>
                <w:szCs w:val="18"/>
              </w:rPr>
            </w:pPr>
          </w:p>
        </w:tc>
      </w:tr>
      <w:tr w:rsidR="00202C33" w:rsidRPr="00202C33" w:rsidTr="00202C33">
        <w:trPr>
          <w:trHeight w:val="346"/>
          <w:jc w:val="center"/>
        </w:trPr>
        <w:tc>
          <w:tcPr>
            <w:tcW w:w="439" w:type="pct"/>
            <w:shd w:val="clear" w:color="auto" w:fill="D9D9D9" w:themeFill="background1" w:themeFillShade="D9"/>
            <w:vAlign w:val="center"/>
          </w:tcPr>
          <w:p w:rsidR="00425B2E" w:rsidRPr="00202C33" w:rsidRDefault="00E36C56" w:rsidP="00202C33">
            <w:pPr>
              <w:spacing w:before="120"/>
              <w:jc w:val="center"/>
              <w:rPr>
                <w:rFonts w:ascii="Times New Roman" w:hAnsi="Times New Roman" w:cs="Times New Roman"/>
                <w:sz w:val="18"/>
                <w:szCs w:val="18"/>
                <w:lang w:val="sr-Cyrl-CS"/>
              </w:rPr>
            </w:pPr>
            <w:r w:rsidRPr="00202C33">
              <w:rPr>
                <w:rFonts w:ascii="Times New Roman" w:hAnsi="Times New Roman" w:cs="Times New Roman"/>
                <w:sz w:val="18"/>
                <w:szCs w:val="18"/>
                <w:lang w:val="sr-Cyrl-CS"/>
              </w:rPr>
              <w:t>3.</w:t>
            </w:r>
          </w:p>
        </w:tc>
        <w:tc>
          <w:tcPr>
            <w:tcW w:w="1229" w:type="pct"/>
            <w:shd w:val="clear" w:color="auto" w:fill="D9D9D9" w:themeFill="background1" w:themeFillShade="D9"/>
            <w:vAlign w:val="center"/>
          </w:tcPr>
          <w:p w:rsidR="00C57C45" w:rsidRPr="00202C33" w:rsidRDefault="00E36C56" w:rsidP="00E71618">
            <w:pPr>
              <w:pStyle w:val="Normal2"/>
              <w:spacing w:before="120" w:beforeAutospacing="0" w:after="120" w:afterAutospacing="0"/>
              <w:jc w:val="both"/>
              <w:rPr>
                <w:sz w:val="18"/>
                <w:szCs w:val="18"/>
              </w:rPr>
            </w:pPr>
            <w:r w:rsidRPr="00202C33">
              <w:rPr>
                <w:sz w:val="18"/>
                <w:szCs w:val="18"/>
              </w:rPr>
              <w:t>This Regulation shall enter into force on the third day following that of its publication in the</w:t>
            </w:r>
            <w:r w:rsidRPr="00202C33">
              <w:rPr>
                <w:rStyle w:val="apple-converted-space"/>
                <w:rFonts w:eastAsia="Calibri"/>
                <w:sz w:val="18"/>
                <w:szCs w:val="18"/>
              </w:rPr>
              <w:t> </w:t>
            </w:r>
            <w:r w:rsidRPr="00202C33">
              <w:rPr>
                <w:rStyle w:val="italic"/>
                <w:i/>
                <w:iCs/>
                <w:sz w:val="18"/>
                <w:szCs w:val="18"/>
              </w:rPr>
              <w:t>Official Journal of the European Union</w:t>
            </w:r>
            <w:r w:rsidRPr="00202C33">
              <w:rPr>
                <w:sz w:val="18"/>
                <w:szCs w:val="18"/>
              </w:rPr>
              <w:t>.</w:t>
            </w:r>
          </w:p>
        </w:tc>
        <w:tc>
          <w:tcPr>
            <w:tcW w:w="397" w:type="pct"/>
            <w:vAlign w:val="center"/>
          </w:tcPr>
          <w:p w:rsidR="00425B2E" w:rsidRPr="00202C33" w:rsidRDefault="00425B2E" w:rsidP="00202C33">
            <w:pPr>
              <w:spacing w:before="120"/>
              <w:ind w:firstLine="5"/>
              <w:jc w:val="center"/>
              <w:rPr>
                <w:rFonts w:ascii="Times New Roman" w:hAnsi="Times New Roman" w:cs="Times New Roman"/>
                <w:sz w:val="18"/>
                <w:szCs w:val="18"/>
                <w:lang w:val="ru-RU"/>
              </w:rPr>
            </w:pPr>
          </w:p>
        </w:tc>
        <w:tc>
          <w:tcPr>
            <w:tcW w:w="1232" w:type="pct"/>
            <w:vAlign w:val="center"/>
          </w:tcPr>
          <w:p w:rsidR="00C57C45" w:rsidRPr="00202C33" w:rsidRDefault="00C57C45" w:rsidP="00202C33">
            <w:pPr>
              <w:spacing w:before="120"/>
              <w:ind w:left="361"/>
              <w:jc w:val="both"/>
              <w:rPr>
                <w:rFonts w:ascii="Times New Roman" w:hAnsi="Times New Roman" w:cs="Times New Roman"/>
                <w:sz w:val="18"/>
                <w:szCs w:val="18"/>
                <w:lang w:val="sr-Cyrl-CS"/>
              </w:rPr>
            </w:pPr>
          </w:p>
        </w:tc>
        <w:tc>
          <w:tcPr>
            <w:tcW w:w="463" w:type="pct"/>
            <w:vAlign w:val="center"/>
          </w:tcPr>
          <w:p w:rsidR="00425B2E" w:rsidRPr="00202C33" w:rsidRDefault="00E71618" w:rsidP="00202C33">
            <w:pPr>
              <w:spacing w:before="120"/>
              <w:jc w:val="center"/>
              <w:rPr>
                <w:rFonts w:ascii="Times New Roman" w:hAnsi="Times New Roman" w:cs="Times New Roman"/>
                <w:sz w:val="18"/>
                <w:szCs w:val="18"/>
                <w:lang w:val="sr-Cyrl-CS"/>
              </w:rPr>
            </w:pPr>
            <w:r w:rsidRPr="00E71618">
              <w:rPr>
                <w:rFonts w:ascii="Times New Roman" w:hAnsi="Times New Roman" w:cs="Times New Roman"/>
                <w:sz w:val="18"/>
                <w:szCs w:val="18"/>
                <w:lang w:val="sr-Cyrl-CS"/>
              </w:rPr>
              <w:t>НП</w:t>
            </w:r>
          </w:p>
        </w:tc>
        <w:tc>
          <w:tcPr>
            <w:tcW w:w="729" w:type="pct"/>
            <w:gridSpan w:val="2"/>
            <w:vAlign w:val="center"/>
          </w:tcPr>
          <w:p w:rsidR="00425B2E" w:rsidRPr="00202C33" w:rsidRDefault="00425B2E" w:rsidP="00202C33">
            <w:pPr>
              <w:spacing w:before="120"/>
              <w:ind w:firstLine="21"/>
              <w:jc w:val="center"/>
              <w:rPr>
                <w:rFonts w:ascii="Times New Roman" w:hAnsi="Times New Roman" w:cs="Times New Roman"/>
                <w:sz w:val="18"/>
                <w:szCs w:val="18"/>
                <w:lang w:val="ru-RU"/>
              </w:rPr>
            </w:pPr>
          </w:p>
        </w:tc>
        <w:tc>
          <w:tcPr>
            <w:tcW w:w="511" w:type="pct"/>
            <w:vAlign w:val="center"/>
          </w:tcPr>
          <w:p w:rsidR="00425B2E" w:rsidRPr="00202C33" w:rsidRDefault="00425B2E" w:rsidP="00202C33">
            <w:pPr>
              <w:spacing w:before="120"/>
              <w:jc w:val="center"/>
              <w:rPr>
                <w:rFonts w:ascii="Times New Roman" w:hAnsi="Times New Roman" w:cs="Times New Roman"/>
                <w:sz w:val="18"/>
                <w:szCs w:val="18"/>
              </w:rPr>
            </w:pPr>
          </w:p>
        </w:tc>
      </w:tr>
      <w:tr w:rsidR="00202C33" w:rsidRPr="00202C33" w:rsidTr="00202C33">
        <w:trPr>
          <w:trHeight w:val="346"/>
          <w:jc w:val="center"/>
        </w:trPr>
        <w:tc>
          <w:tcPr>
            <w:tcW w:w="439" w:type="pct"/>
            <w:shd w:val="clear" w:color="auto" w:fill="D9D9D9" w:themeFill="background1" w:themeFillShade="D9"/>
            <w:vAlign w:val="center"/>
          </w:tcPr>
          <w:p w:rsidR="00360DA2" w:rsidRPr="00202C33" w:rsidRDefault="00360DA2"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rPr>
              <w:t>Annex III</w:t>
            </w:r>
          </w:p>
          <w:p w:rsidR="00360DA2" w:rsidRPr="00202C33" w:rsidRDefault="00360DA2" w:rsidP="00202C33">
            <w:pPr>
              <w:spacing w:before="120"/>
              <w:jc w:val="center"/>
              <w:rPr>
                <w:rFonts w:ascii="Times New Roman" w:hAnsi="Times New Roman" w:cs="Times New Roman"/>
                <w:sz w:val="18"/>
                <w:szCs w:val="18"/>
                <w:lang w:val="ru-RU"/>
              </w:rPr>
            </w:pPr>
            <w:r w:rsidRPr="00202C33">
              <w:rPr>
                <w:rFonts w:ascii="Times New Roman" w:hAnsi="Times New Roman" w:cs="Times New Roman"/>
                <w:sz w:val="18"/>
                <w:szCs w:val="18"/>
              </w:rPr>
              <w:t>1.</w:t>
            </w:r>
          </w:p>
        </w:tc>
        <w:tc>
          <w:tcPr>
            <w:tcW w:w="1229" w:type="pct"/>
            <w:shd w:val="clear" w:color="auto" w:fill="D9D9D9" w:themeFill="background1" w:themeFillShade="D9"/>
            <w:vAlign w:val="center"/>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3023"/>
            </w:tblGrid>
            <w:tr w:rsidR="00202C33" w:rsidRPr="00202C33" w:rsidTr="00E71618">
              <w:trPr>
                <w:trHeight w:val="131"/>
                <w:tblCellSpacing w:w="0" w:type="dxa"/>
              </w:trPr>
              <w:tc>
                <w:tcPr>
                  <w:tcW w:w="0" w:type="auto"/>
                  <w:shd w:val="clear" w:color="auto" w:fill="D9D9D9" w:themeFill="background1" w:themeFillShade="D9"/>
                  <w:hideMark/>
                </w:tcPr>
                <w:p w:rsidR="00360DA2" w:rsidRPr="00202C33" w:rsidRDefault="00360DA2" w:rsidP="00202C33">
                  <w:pPr>
                    <w:pStyle w:val="Normal2"/>
                    <w:spacing w:before="120" w:beforeAutospacing="0" w:after="0" w:afterAutospacing="0"/>
                    <w:jc w:val="both"/>
                    <w:rPr>
                      <w:sz w:val="18"/>
                      <w:szCs w:val="18"/>
                    </w:rPr>
                  </w:pPr>
                  <w:r w:rsidRPr="00202C33">
                    <w:rPr>
                      <w:sz w:val="18"/>
                      <w:szCs w:val="18"/>
                    </w:rPr>
                    <w:t>Unique identification code of the product-type:</w:t>
                  </w:r>
                </w:p>
              </w:tc>
            </w:tr>
            <w:tr w:rsidR="00202C33" w:rsidRPr="00202C33" w:rsidTr="00E71618">
              <w:trPr>
                <w:tblCellSpacing w:w="0" w:type="dxa"/>
              </w:trPr>
              <w:tc>
                <w:tcPr>
                  <w:tcW w:w="0" w:type="auto"/>
                  <w:shd w:val="clear" w:color="auto" w:fill="D9D9D9" w:themeFill="background1" w:themeFillShade="D9"/>
                  <w:hideMark/>
                </w:tcPr>
                <w:p w:rsidR="00360DA2" w:rsidRPr="00202C33" w:rsidRDefault="00360DA2" w:rsidP="00202C33">
                  <w:pPr>
                    <w:pStyle w:val="Normal2"/>
                    <w:spacing w:before="120" w:beforeAutospacing="0" w:after="0" w:afterAutospacing="0"/>
                    <w:jc w:val="both"/>
                    <w:rPr>
                      <w:sz w:val="18"/>
                      <w:szCs w:val="18"/>
                    </w:rPr>
                  </w:pPr>
                </w:p>
              </w:tc>
            </w:tr>
          </w:tbl>
          <w:p w:rsidR="00360DA2" w:rsidRPr="00202C33" w:rsidRDefault="00360DA2" w:rsidP="00202C33">
            <w:pPr>
              <w:spacing w:before="120"/>
              <w:ind w:firstLine="5"/>
              <w:jc w:val="center"/>
              <w:rPr>
                <w:rFonts w:ascii="Times New Roman" w:eastAsia="Times New Roman" w:hAnsi="Times New Roman" w:cs="Times New Roman"/>
                <w:sz w:val="18"/>
                <w:szCs w:val="18"/>
              </w:rPr>
            </w:pPr>
          </w:p>
        </w:tc>
        <w:tc>
          <w:tcPr>
            <w:tcW w:w="397" w:type="pct"/>
            <w:shd w:val="clear" w:color="auto" w:fill="auto"/>
            <w:vAlign w:val="center"/>
          </w:tcPr>
          <w:p w:rsidR="00360DA2" w:rsidRPr="00202C33" w:rsidRDefault="00DC1C69" w:rsidP="00202C33">
            <w:pPr>
              <w:spacing w:before="120"/>
              <w:ind w:firstLine="5"/>
              <w:jc w:val="center"/>
              <w:rPr>
                <w:rFonts w:ascii="Times New Roman" w:hAnsi="Times New Roman" w:cs="Times New Roman"/>
                <w:sz w:val="18"/>
                <w:szCs w:val="18"/>
              </w:rPr>
            </w:pPr>
            <w:r>
              <w:rPr>
                <w:rFonts w:ascii="Times New Roman" w:hAnsi="Times New Roman" w:cs="Times New Roman"/>
                <w:sz w:val="18"/>
                <w:szCs w:val="18"/>
              </w:rPr>
              <w:t>8.3.</w:t>
            </w:r>
          </w:p>
        </w:tc>
        <w:tc>
          <w:tcPr>
            <w:tcW w:w="1232" w:type="pct"/>
            <w:shd w:val="clear" w:color="auto" w:fill="auto"/>
            <w:vAlign w:val="center"/>
          </w:tcPr>
          <w:p w:rsidR="00DC1C69" w:rsidRPr="00DC1C69" w:rsidRDefault="00DC1C69" w:rsidP="00DC1C69">
            <w:pPr>
              <w:pStyle w:val="Normal2"/>
              <w:spacing w:before="120" w:beforeAutospacing="0" w:after="120" w:afterAutospacing="0"/>
              <w:jc w:val="both"/>
              <w:rPr>
                <w:sz w:val="18"/>
                <w:szCs w:val="18"/>
              </w:rPr>
            </w:pPr>
            <w:proofErr w:type="spellStart"/>
            <w:r w:rsidRPr="00DC1C69">
              <w:rPr>
                <w:sz w:val="18"/>
                <w:szCs w:val="18"/>
              </w:rPr>
              <w:t>Министарств</w:t>
            </w:r>
            <w:r>
              <w:rPr>
                <w:sz w:val="18"/>
                <w:szCs w:val="18"/>
              </w:rPr>
              <w:t>o</w:t>
            </w:r>
            <w:proofErr w:type="spellEnd"/>
            <w:r w:rsidRPr="00DC1C69">
              <w:rPr>
                <w:sz w:val="18"/>
                <w:szCs w:val="18"/>
              </w:rPr>
              <w:t xml:space="preserve"> </w:t>
            </w:r>
            <w:proofErr w:type="spellStart"/>
            <w:r w:rsidRPr="00DC1C69">
              <w:rPr>
                <w:sz w:val="18"/>
                <w:szCs w:val="18"/>
              </w:rPr>
              <w:t>надлежно</w:t>
            </w:r>
            <w:proofErr w:type="spellEnd"/>
            <w:r w:rsidRPr="00DC1C69">
              <w:rPr>
                <w:sz w:val="18"/>
                <w:szCs w:val="18"/>
              </w:rPr>
              <w:t xml:space="preserve"> </w:t>
            </w:r>
            <w:proofErr w:type="spellStart"/>
            <w:r w:rsidRPr="00DC1C69">
              <w:rPr>
                <w:sz w:val="18"/>
                <w:szCs w:val="18"/>
              </w:rPr>
              <w:t>за</w:t>
            </w:r>
            <w:proofErr w:type="spellEnd"/>
            <w:r w:rsidRPr="00DC1C69">
              <w:rPr>
                <w:sz w:val="18"/>
                <w:szCs w:val="18"/>
              </w:rPr>
              <w:t xml:space="preserve"> </w:t>
            </w:r>
            <w:proofErr w:type="spellStart"/>
            <w:r w:rsidRPr="00DC1C69">
              <w:rPr>
                <w:sz w:val="18"/>
                <w:szCs w:val="18"/>
              </w:rPr>
              <w:t>послове</w:t>
            </w:r>
            <w:proofErr w:type="spellEnd"/>
            <w:r w:rsidRPr="00DC1C69">
              <w:rPr>
                <w:sz w:val="18"/>
                <w:szCs w:val="18"/>
              </w:rPr>
              <w:t xml:space="preserve"> </w:t>
            </w:r>
            <w:proofErr w:type="spellStart"/>
            <w:r w:rsidRPr="00DC1C69">
              <w:rPr>
                <w:sz w:val="18"/>
                <w:szCs w:val="18"/>
              </w:rPr>
              <w:t>грађевинарства</w:t>
            </w:r>
            <w:proofErr w:type="spellEnd"/>
            <w:r w:rsidRPr="00DC1C69">
              <w:rPr>
                <w:sz w:val="18"/>
                <w:szCs w:val="18"/>
              </w:rPr>
              <w:t xml:space="preserve"> </w:t>
            </w:r>
            <w:proofErr w:type="spellStart"/>
            <w:r w:rsidRPr="00DC1C69">
              <w:rPr>
                <w:sz w:val="18"/>
                <w:szCs w:val="18"/>
              </w:rPr>
              <w:t>ближе</w:t>
            </w:r>
            <w:proofErr w:type="spellEnd"/>
            <w:r w:rsidRPr="00DC1C69">
              <w:rPr>
                <w:sz w:val="18"/>
                <w:szCs w:val="18"/>
              </w:rPr>
              <w:t xml:space="preserve"> </w:t>
            </w:r>
            <w:proofErr w:type="spellStart"/>
            <w:r w:rsidRPr="00DC1C69">
              <w:rPr>
                <w:sz w:val="18"/>
                <w:szCs w:val="18"/>
              </w:rPr>
              <w:t>прописује</w:t>
            </w:r>
            <w:proofErr w:type="spellEnd"/>
            <w:r w:rsidRPr="00DC1C69">
              <w:rPr>
                <w:sz w:val="18"/>
                <w:szCs w:val="18"/>
              </w:rPr>
              <w:t xml:space="preserve"> </w:t>
            </w:r>
            <w:proofErr w:type="spellStart"/>
            <w:r w:rsidR="00663A2C">
              <w:rPr>
                <w:sz w:val="18"/>
                <w:szCs w:val="18"/>
              </w:rPr>
              <w:t>садржину</w:t>
            </w:r>
            <w:proofErr w:type="spellEnd"/>
            <w:r w:rsidRPr="00DC1C69">
              <w:rPr>
                <w:sz w:val="18"/>
                <w:szCs w:val="18"/>
              </w:rPr>
              <w:t xml:space="preserve"> и </w:t>
            </w:r>
            <w:proofErr w:type="spellStart"/>
            <w:r w:rsidRPr="00DC1C69">
              <w:rPr>
                <w:sz w:val="18"/>
                <w:szCs w:val="18"/>
              </w:rPr>
              <w:t>начин</w:t>
            </w:r>
            <w:proofErr w:type="spellEnd"/>
            <w:r w:rsidRPr="00DC1C69">
              <w:rPr>
                <w:sz w:val="18"/>
                <w:szCs w:val="18"/>
              </w:rPr>
              <w:t xml:space="preserve"> </w:t>
            </w:r>
            <w:proofErr w:type="spellStart"/>
            <w:r w:rsidRPr="00DC1C69">
              <w:rPr>
                <w:sz w:val="18"/>
                <w:szCs w:val="18"/>
              </w:rPr>
              <w:t>израде</w:t>
            </w:r>
            <w:proofErr w:type="spellEnd"/>
            <w:r w:rsidRPr="00DC1C69">
              <w:rPr>
                <w:sz w:val="18"/>
                <w:szCs w:val="18"/>
              </w:rPr>
              <w:t xml:space="preserve"> </w:t>
            </w:r>
            <w:proofErr w:type="spellStart"/>
            <w:r w:rsidRPr="00DC1C69">
              <w:rPr>
                <w:sz w:val="18"/>
                <w:szCs w:val="18"/>
              </w:rPr>
              <w:t>декларације</w:t>
            </w:r>
            <w:proofErr w:type="spellEnd"/>
            <w:r w:rsidRPr="00DC1C69">
              <w:rPr>
                <w:sz w:val="18"/>
                <w:szCs w:val="18"/>
              </w:rPr>
              <w:t xml:space="preserve"> о перформансама.</w:t>
            </w:r>
          </w:p>
          <w:p w:rsidR="00360DA2" w:rsidRPr="00202C33" w:rsidRDefault="00360DA2" w:rsidP="00202C33">
            <w:pPr>
              <w:pStyle w:val="ListParagraph"/>
              <w:spacing w:before="120"/>
              <w:ind w:left="79"/>
              <w:jc w:val="both"/>
              <w:rPr>
                <w:sz w:val="18"/>
                <w:szCs w:val="18"/>
              </w:rPr>
            </w:pPr>
          </w:p>
        </w:tc>
        <w:tc>
          <w:tcPr>
            <w:tcW w:w="463" w:type="pct"/>
            <w:shd w:val="clear" w:color="auto" w:fill="auto"/>
            <w:vAlign w:val="center"/>
          </w:tcPr>
          <w:p w:rsidR="00360DA2" w:rsidRPr="00202C33" w:rsidRDefault="00235718" w:rsidP="00202C33">
            <w:pPr>
              <w:spacing w:before="120"/>
              <w:jc w:val="center"/>
              <w:rPr>
                <w:rFonts w:ascii="Times New Roman" w:hAnsi="Times New Roman" w:cs="Times New Roman"/>
                <w:sz w:val="18"/>
                <w:szCs w:val="18"/>
                <w:lang w:val="sr-Cyrl-CS"/>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производима која се може упоредити са Т</w:t>
            </w:r>
            <w:r w:rsidR="00F86B9E">
              <w:rPr>
                <w:rFonts w:ascii="Times New Roman" w:hAnsi="Times New Roman" w:cs="Times New Roman"/>
                <w:sz w:val="18"/>
                <w:szCs w:val="18"/>
                <w:lang w:val="ru-RU"/>
              </w:rPr>
              <w:t>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1</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60DA2" w:rsidRPr="00202C33" w:rsidRDefault="00360DA2" w:rsidP="00202C33">
            <w:pPr>
              <w:spacing w:before="120"/>
              <w:jc w:val="center"/>
              <w:rPr>
                <w:rFonts w:ascii="Times New Roman" w:hAnsi="Times New Roman" w:cs="Times New Roman"/>
                <w:sz w:val="18"/>
                <w:szCs w:val="18"/>
              </w:rPr>
            </w:pPr>
          </w:p>
        </w:tc>
        <w:tc>
          <w:tcPr>
            <w:tcW w:w="511" w:type="pct"/>
            <w:vAlign w:val="center"/>
          </w:tcPr>
          <w:p w:rsidR="00360DA2" w:rsidRPr="00202C33" w:rsidRDefault="00360DA2" w:rsidP="00202C33">
            <w:pPr>
              <w:spacing w:before="120"/>
              <w:jc w:val="center"/>
              <w:rPr>
                <w:rFonts w:ascii="Times New Roman" w:hAnsi="Times New Roman" w:cs="Times New Roman"/>
                <w:sz w:val="18"/>
                <w:szCs w:val="18"/>
              </w:rPr>
            </w:pPr>
          </w:p>
        </w:tc>
      </w:tr>
      <w:tr w:rsidR="00202C33" w:rsidRPr="00202C33" w:rsidTr="00202C33">
        <w:trPr>
          <w:trHeight w:val="346"/>
          <w:jc w:val="center"/>
        </w:trPr>
        <w:tc>
          <w:tcPr>
            <w:tcW w:w="439" w:type="pct"/>
            <w:shd w:val="clear" w:color="auto" w:fill="D9D9D9" w:themeFill="background1" w:themeFillShade="D9"/>
            <w:vAlign w:val="center"/>
          </w:tcPr>
          <w:p w:rsidR="00360DA2" w:rsidRPr="00202C33" w:rsidRDefault="00360DA2" w:rsidP="00202C33">
            <w:pPr>
              <w:spacing w:before="120"/>
              <w:jc w:val="center"/>
              <w:rPr>
                <w:rFonts w:ascii="Times New Roman" w:hAnsi="Times New Roman" w:cs="Times New Roman"/>
                <w:sz w:val="18"/>
                <w:szCs w:val="18"/>
              </w:rPr>
            </w:pPr>
            <w:r w:rsidRPr="00202C33">
              <w:rPr>
                <w:rFonts w:ascii="Times New Roman" w:hAnsi="Times New Roman" w:cs="Times New Roman"/>
                <w:sz w:val="18"/>
                <w:szCs w:val="18"/>
              </w:rPr>
              <w:lastRenderedPageBreak/>
              <w:t>Annex III</w:t>
            </w:r>
          </w:p>
          <w:p w:rsidR="00360DA2" w:rsidRPr="00202C33" w:rsidRDefault="00360DA2" w:rsidP="00202C33">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2.</w:t>
            </w:r>
          </w:p>
        </w:tc>
        <w:tc>
          <w:tcPr>
            <w:tcW w:w="1229" w:type="pct"/>
            <w:shd w:val="clear" w:color="auto" w:fill="D9D9D9" w:themeFill="background1" w:themeFillShade="D9"/>
            <w:vAlign w:val="center"/>
          </w:tcPr>
          <w:tbl>
            <w:tblPr>
              <w:tblW w:w="2967" w:type="dxa"/>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308"/>
              <w:gridCol w:w="2659"/>
            </w:tblGrid>
            <w:tr w:rsidR="00202C33" w:rsidRPr="00202C33" w:rsidTr="00E71618">
              <w:trPr>
                <w:trHeight w:val="175"/>
                <w:tblCellSpacing w:w="0" w:type="dxa"/>
              </w:trPr>
              <w:tc>
                <w:tcPr>
                  <w:tcW w:w="0" w:type="auto"/>
                  <w:shd w:val="clear" w:color="auto" w:fill="D9D9D9" w:themeFill="background1" w:themeFillShade="D9"/>
                  <w:hideMark/>
                </w:tcPr>
                <w:p w:rsidR="00360DA2" w:rsidRPr="00202C33" w:rsidRDefault="00360DA2" w:rsidP="00202C33">
                  <w:pPr>
                    <w:pStyle w:val="Normal2"/>
                    <w:spacing w:before="120" w:beforeAutospacing="0" w:after="0" w:afterAutospacing="0"/>
                    <w:jc w:val="both"/>
                    <w:rPr>
                      <w:sz w:val="18"/>
                      <w:szCs w:val="18"/>
                    </w:rPr>
                  </w:pPr>
                  <w:r w:rsidRPr="00202C33">
                    <w:rPr>
                      <w:sz w:val="18"/>
                      <w:szCs w:val="18"/>
                    </w:rPr>
                    <w:t>2.</w:t>
                  </w:r>
                </w:p>
              </w:tc>
              <w:tc>
                <w:tcPr>
                  <w:tcW w:w="0" w:type="auto"/>
                  <w:shd w:val="clear" w:color="auto" w:fill="D9D9D9" w:themeFill="background1" w:themeFillShade="D9"/>
                  <w:hideMark/>
                </w:tcPr>
                <w:p w:rsidR="00360DA2" w:rsidRPr="00202C33" w:rsidRDefault="00360DA2" w:rsidP="00202C33">
                  <w:pPr>
                    <w:pStyle w:val="Normal2"/>
                    <w:spacing w:before="120" w:beforeAutospacing="0" w:after="0" w:afterAutospacing="0"/>
                    <w:jc w:val="both"/>
                    <w:rPr>
                      <w:sz w:val="18"/>
                      <w:szCs w:val="18"/>
                    </w:rPr>
                  </w:pPr>
                  <w:r w:rsidRPr="00202C33">
                    <w:rPr>
                      <w:sz w:val="18"/>
                      <w:szCs w:val="18"/>
                    </w:rPr>
                    <w:t>Intended use/</w:t>
                  </w:r>
                  <w:proofErr w:type="spellStart"/>
                  <w:r w:rsidRPr="00202C33">
                    <w:rPr>
                      <w:sz w:val="18"/>
                      <w:szCs w:val="18"/>
                    </w:rPr>
                    <w:t>es</w:t>
                  </w:r>
                  <w:proofErr w:type="spellEnd"/>
                  <w:r w:rsidRPr="00202C33">
                    <w:rPr>
                      <w:sz w:val="18"/>
                      <w:szCs w:val="18"/>
                    </w:rPr>
                    <w:t>:</w:t>
                  </w:r>
                </w:p>
              </w:tc>
            </w:tr>
          </w:tbl>
          <w:p w:rsidR="00360DA2" w:rsidRPr="00202C33" w:rsidRDefault="00360DA2" w:rsidP="00202C33">
            <w:pPr>
              <w:spacing w:before="120"/>
              <w:ind w:firstLine="5"/>
              <w:jc w:val="center"/>
              <w:rPr>
                <w:rFonts w:ascii="Times New Roman" w:eastAsia="Times New Roman" w:hAnsi="Times New Roman" w:cs="Times New Roman"/>
                <w:sz w:val="18"/>
                <w:szCs w:val="18"/>
              </w:rPr>
            </w:pPr>
          </w:p>
        </w:tc>
        <w:tc>
          <w:tcPr>
            <w:tcW w:w="397" w:type="pct"/>
            <w:shd w:val="clear" w:color="auto" w:fill="auto"/>
            <w:vAlign w:val="center"/>
          </w:tcPr>
          <w:p w:rsidR="00360DA2" w:rsidRPr="00202C33" w:rsidRDefault="0033066E" w:rsidP="00202C33">
            <w:pPr>
              <w:spacing w:before="120"/>
              <w:ind w:firstLine="5"/>
              <w:jc w:val="center"/>
              <w:rPr>
                <w:rFonts w:ascii="Times New Roman" w:hAnsi="Times New Roman" w:cs="Times New Roman"/>
                <w:sz w:val="18"/>
                <w:szCs w:val="18"/>
                <w:lang w:val="ru-RU"/>
              </w:rPr>
            </w:pPr>
            <w:r>
              <w:rPr>
                <w:rFonts w:ascii="Times New Roman" w:hAnsi="Times New Roman" w:cs="Times New Roman"/>
                <w:sz w:val="18"/>
                <w:szCs w:val="18"/>
              </w:rPr>
              <w:t>8.3.</w:t>
            </w:r>
          </w:p>
        </w:tc>
        <w:tc>
          <w:tcPr>
            <w:tcW w:w="1232" w:type="pct"/>
            <w:shd w:val="clear" w:color="auto" w:fill="auto"/>
            <w:vAlign w:val="center"/>
          </w:tcPr>
          <w:p w:rsidR="00360DA2" w:rsidRPr="00BF3B38" w:rsidRDefault="00BF3B38" w:rsidP="00BF3B38">
            <w:pPr>
              <w:pStyle w:val="Normal2"/>
              <w:spacing w:before="120" w:beforeAutospacing="0" w:after="120" w:afterAutospacing="0"/>
              <w:jc w:val="both"/>
              <w:rPr>
                <w:sz w:val="18"/>
                <w:szCs w:val="18"/>
                <w:lang w:val="ru-RU"/>
              </w:rPr>
            </w:pPr>
            <w:r w:rsidRPr="00BF3B38">
              <w:rPr>
                <w:sz w:val="18"/>
                <w:szCs w:val="18"/>
                <w:lang w:val="ru-RU"/>
              </w:rPr>
              <w:t>Министарств</w:t>
            </w:r>
            <w:r>
              <w:rPr>
                <w:sz w:val="18"/>
                <w:szCs w:val="18"/>
              </w:rPr>
              <w:t>o</w:t>
            </w:r>
            <w:r w:rsidRPr="00BF3B38">
              <w:rPr>
                <w:sz w:val="18"/>
                <w:szCs w:val="18"/>
                <w:lang w:val="ru-RU"/>
              </w:rPr>
              <w:t xml:space="preserve"> надлежно за послове грађевинарства ближе прописује </w:t>
            </w:r>
            <w:r w:rsidR="00663A2C">
              <w:rPr>
                <w:sz w:val="18"/>
                <w:szCs w:val="18"/>
                <w:lang w:val="ru-RU"/>
              </w:rPr>
              <w:t>садржину</w:t>
            </w:r>
            <w:r w:rsidRPr="00BF3B38">
              <w:rPr>
                <w:sz w:val="18"/>
                <w:szCs w:val="18"/>
                <w:lang w:val="ru-RU"/>
              </w:rPr>
              <w:t xml:space="preserve"> и начин израде декларације о перформансама.</w:t>
            </w:r>
          </w:p>
        </w:tc>
        <w:tc>
          <w:tcPr>
            <w:tcW w:w="463" w:type="pct"/>
            <w:shd w:val="clear" w:color="auto" w:fill="auto"/>
            <w:vAlign w:val="center"/>
          </w:tcPr>
          <w:p w:rsidR="00360DA2" w:rsidRPr="00202C33" w:rsidRDefault="00235718" w:rsidP="00202C33">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2</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60DA2" w:rsidRPr="00202C33" w:rsidRDefault="00360DA2" w:rsidP="00202C33">
            <w:pPr>
              <w:spacing w:before="120"/>
              <w:jc w:val="center"/>
              <w:rPr>
                <w:rFonts w:ascii="Times New Roman" w:hAnsi="Times New Roman" w:cs="Times New Roman"/>
                <w:sz w:val="18"/>
                <w:szCs w:val="18"/>
              </w:rPr>
            </w:pPr>
          </w:p>
        </w:tc>
        <w:tc>
          <w:tcPr>
            <w:tcW w:w="511" w:type="pct"/>
            <w:vAlign w:val="center"/>
          </w:tcPr>
          <w:p w:rsidR="00360DA2" w:rsidRPr="00202C33" w:rsidRDefault="00360DA2" w:rsidP="00202C33">
            <w:pPr>
              <w:spacing w:before="120"/>
              <w:jc w:val="center"/>
              <w:rPr>
                <w:rFonts w:ascii="Times New Roman" w:hAnsi="Times New Roman" w:cs="Times New Roman"/>
                <w:sz w:val="18"/>
                <w:szCs w:val="18"/>
              </w:rPr>
            </w:pPr>
          </w:p>
        </w:tc>
      </w:tr>
      <w:tr w:rsidR="0033066E" w:rsidRPr="00202C33" w:rsidTr="00285E9C">
        <w:trPr>
          <w:trHeight w:val="34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t>Annex III</w:t>
            </w:r>
          </w:p>
          <w:p w:rsidR="0033066E" w:rsidRPr="00202C33" w:rsidRDefault="0033066E" w:rsidP="0033066E">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3.</w:t>
            </w:r>
          </w:p>
        </w:tc>
        <w:tc>
          <w:tcPr>
            <w:tcW w:w="1229" w:type="pct"/>
            <w:shd w:val="clear" w:color="auto" w:fill="D9D9D9" w:themeFill="background1" w:themeFillShade="D9"/>
            <w:vAlign w:val="center"/>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350"/>
              <w:gridCol w:w="2673"/>
            </w:tblGrid>
            <w:tr w:rsidR="0033066E" w:rsidRPr="00202C33" w:rsidTr="00E71618">
              <w:trPr>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3.</w:t>
                  </w:r>
                </w:p>
              </w:tc>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Manufacturer:</w:t>
                  </w:r>
                </w:p>
              </w:tc>
            </w:tr>
            <w:tr w:rsidR="0033066E" w:rsidRPr="00202C33" w:rsidTr="00E71618">
              <w:trPr>
                <w:gridAfter w:val="1"/>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r>
          </w:tbl>
          <w:p w:rsidR="0033066E" w:rsidRPr="00202C33" w:rsidRDefault="0033066E" w:rsidP="0033066E">
            <w:pPr>
              <w:spacing w:before="120"/>
              <w:ind w:firstLine="5"/>
              <w:rPr>
                <w:rFonts w:ascii="Times New Roman" w:eastAsia="Times New Roman" w:hAnsi="Times New Roman" w:cs="Times New Roman"/>
                <w:sz w:val="18"/>
                <w:szCs w:val="18"/>
              </w:rPr>
            </w:pPr>
          </w:p>
        </w:tc>
        <w:tc>
          <w:tcPr>
            <w:tcW w:w="397" w:type="pct"/>
            <w:shd w:val="clear" w:color="auto" w:fill="auto"/>
          </w:tcPr>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33066E" w:rsidRDefault="0033066E" w:rsidP="0033066E">
            <w:pPr>
              <w:spacing w:before="120"/>
              <w:ind w:firstLine="5"/>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ind w:left="79"/>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3</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jc w:val="center"/>
              <w:rPr>
                <w:rFonts w:ascii="Times New Roman" w:hAnsi="Times New Roman" w:cs="Times New Roman"/>
                <w:sz w:val="18"/>
                <w:szCs w:val="18"/>
                <w:lang w:val="sr-Cyrl-CS"/>
              </w:rPr>
            </w:pPr>
          </w:p>
        </w:tc>
        <w:tc>
          <w:tcPr>
            <w:tcW w:w="511" w:type="pct"/>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34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t>Annex III</w:t>
            </w:r>
          </w:p>
          <w:p w:rsidR="0033066E" w:rsidRPr="00202C33" w:rsidRDefault="0033066E" w:rsidP="0033066E">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4.</w:t>
            </w:r>
          </w:p>
        </w:tc>
        <w:tc>
          <w:tcPr>
            <w:tcW w:w="1229" w:type="pct"/>
            <w:shd w:val="clear" w:color="auto" w:fill="D9D9D9" w:themeFill="background1" w:themeFillShade="D9"/>
            <w:vAlign w:val="center"/>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00"/>
              <w:gridCol w:w="2823"/>
            </w:tblGrid>
            <w:tr w:rsidR="0033066E" w:rsidRPr="00202C33" w:rsidTr="00E71618">
              <w:trPr>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4.</w:t>
                  </w:r>
                </w:p>
              </w:tc>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roofErr w:type="spellStart"/>
                  <w:r w:rsidRPr="00202C33">
                    <w:rPr>
                      <w:sz w:val="18"/>
                      <w:szCs w:val="18"/>
                    </w:rPr>
                    <w:t>Authorised</w:t>
                  </w:r>
                  <w:proofErr w:type="spellEnd"/>
                  <w:r w:rsidRPr="00202C33">
                    <w:rPr>
                      <w:sz w:val="18"/>
                      <w:szCs w:val="18"/>
                    </w:rPr>
                    <w:t xml:space="preserve"> representative:</w:t>
                  </w:r>
                </w:p>
              </w:tc>
            </w:tr>
            <w:tr w:rsidR="0033066E" w:rsidRPr="00202C33" w:rsidTr="00E71618">
              <w:trPr>
                <w:gridAfter w:val="1"/>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r>
          </w:tbl>
          <w:p w:rsidR="0033066E" w:rsidRPr="00202C33" w:rsidRDefault="0033066E" w:rsidP="0033066E">
            <w:pPr>
              <w:spacing w:before="120"/>
              <w:ind w:firstLine="5"/>
              <w:rPr>
                <w:rFonts w:ascii="Times New Roman" w:eastAsia="Times New Roman" w:hAnsi="Times New Roman" w:cs="Times New Roman"/>
                <w:sz w:val="18"/>
                <w:szCs w:val="18"/>
              </w:rPr>
            </w:pPr>
          </w:p>
        </w:tc>
        <w:tc>
          <w:tcPr>
            <w:tcW w:w="397" w:type="pct"/>
            <w:shd w:val="clear" w:color="auto" w:fill="auto"/>
          </w:tcPr>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4E50BC" w:rsidRDefault="004E50BC" w:rsidP="0033066E">
            <w:pPr>
              <w:spacing w:before="120"/>
              <w:ind w:firstLine="5"/>
              <w:jc w:val="center"/>
              <w:rPr>
                <w:rFonts w:ascii="Times New Roman" w:hAnsi="Times New Roman" w:cs="Times New Roman"/>
                <w:sz w:val="18"/>
                <w:szCs w:val="18"/>
              </w:rPr>
            </w:pPr>
          </w:p>
          <w:p w:rsidR="0033066E" w:rsidRDefault="0033066E" w:rsidP="0033066E">
            <w:pPr>
              <w:spacing w:before="120"/>
              <w:ind w:firstLine="5"/>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ind w:left="79"/>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производима која се може упоредити са Т</w:t>
            </w:r>
            <w:r w:rsidR="00F86B9E">
              <w:rPr>
                <w:rFonts w:ascii="Times New Roman" w:hAnsi="Times New Roman" w:cs="Times New Roman"/>
                <w:sz w:val="18"/>
                <w:szCs w:val="18"/>
                <w:lang w:val="ru-RU"/>
              </w:rPr>
              <w:t>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4</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jc w:val="center"/>
              <w:rPr>
                <w:rFonts w:ascii="Times New Roman" w:hAnsi="Times New Roman" w:cs="Times New Roman"/>
                <w:sz w:val="18"/>
                <w:szCs w:val="18"/>
                <w:lang w:val="sr-Cyrl-CS"/>
              </w:rPr>
            </w:pPr>
          </w:p>
        </w:tc>
        <w:tc>
          <w:tcPr>
            <w:tcW w:w="511" w:type="pct"/>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34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lastRenderedPageBreak/>
              <w:t>Annex III</w:t>
            </w:r>
          </w:p>
          <w:p w:rsidR="0033066E" w:rsidRPr="00202C33" w:rsidRDefault="0033066E" w:rsidP="0033066E">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5.</w:t>
            </w:r>
          </w:p>
        </w:tc>
        <w:tc>
          <w:tcPr>
            <w:tcW w:w="1229" w:type="pct"/>
            <w:shd w:val="clear" w:color="auto" w:fill="D9D9D9" w:themeFill="background1" w:themeFillShade="D9"/>
            <w:vAlign w:val="center"/>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62"/>
              <w:gridCol w:w="2761"/>
            </w:tblGrid>
            <w:tr w:rsidR="0033066E" w:rsidRPr="00202C33" w:rsidTr="00E71618">
              <w:trPr>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5.</w:t>
                  </w:r>
                </w:p>
              </w:tc>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System/s of AVCP:</w:t>
                  </w:r>
                </w:p>
              </w:tc>
            </w:tr>
            <w:tr w:rsidR="0033066E" w:rsidRPr="00202C33" w:rsidTr="00E71618">
              <w:trPr>
                <w:gridAfter w:val="1"/>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r>
          </w:tbl>
          <w:p w:rsidR="0033066E" w:rsidRPr="00202C33" w:rsidRDefault="0033066E" w:rsidP="0033066E">
            <w:pPr>
              <w:spacing w:before="120"/>
              <w:ind w:firstLine="5"/>
              <w:rPr>
                <w:rFonts w:ascii="Times New Roman" w:eastAsia="Times New Roman" w:hAnsi="Times New Roman" w:cs="Times New Roman"/>
                <w:sz w:val="18"/>
                <w:szCs w:val="18"/>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Pr="0033066E" w:rsidRDefault="0033066E" w:rsidP="0033066E">
            <w:pPr>
              <w:spacing w:before="120"/>
              <w:jc w:val="center"/>
              <w:rPr>
                <w:rFonts w:ascii="Times New Roman" w:hAnsi="Times New Roman" w:cs="Times New Roman"/>
                <w:sz w:val="18"/>
                <w:szCs w:val="18"/>
              </w:rP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ind w:left="79"/>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5</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jc w:val="center"/>
              <w:rPr>
                <w:rFonts w:ascii="Times New Roman" w:hAnsi="Times New Roman" w:cs="Times New Roman"/>
                <w:sz w:val="18"/>
                <w:szCs w:val="18"/>
                <w:lang w:val="sr-Cyrl-CS"/>
              </w:rPr>
            </w:pPr>
          </w:p>
        </w:tc>
        <w:tc>
          <w:tcPr>
            <w:tcW w:w="511" w:type="pct"/>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34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t>Annex III</w:t>
            </w:r>
          </w:p>
          <w:p w:rsidR="0033066E" w:rsidRPr="00202C33" w:rsidRDefault="0033066E" w:rsidP="0033066E">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6a.</w:t>
            </w:r>
          </w:p>
        </w:tc>
        <w:tc>
          <w:tcPr>
            <w:tcW w:w="1229" w:type="pct"/>
            <w:shd w:val="clear" w:color="auto" w:fill="D9D9D9" w:themeFill="background1" w:themeFillShade="D9"/>
            <w:vAlign w:val="center"/>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361"/>
              <w:gridCol w:w="2662"/>
            </w:tblGrid>
            <w:tr w:rsidR="0033066E" w:rsidRPr="00202C33" w:rsidTr="00E71618">
              <w:trPr>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6a.</w:t>
                  </w:r>
                </w:p>
              </w:tc>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roofErr w:type="spellStart"/>
                  <w:r w:rsidRPr="00202C33">
                    <w:rPr>
                      <w:sz w:val="18"/>
                      <w:szCs w:val="18"/>
                    </w:rPr>
                    <w:t>Harmonised</w:t>
                  </w:r>
                  <w:proofErr w:type="spellEnd"/>
                  <w:r w:rsidRPr="00202C33">
                    <w:rPr>
                      <w:sz w:val="18"/>
                      <w:szCs w:val="18"/>
                    </w:rPr>
                    <w:t xml:space="preserve"> standard:</w:t>
                  </w:r>
                </w:p>
                <w:p w:rsidR="0033066E" w:rsidRPr="00202C33" w:rsidRDefault="0033066E" w:rsidP="0033066E">
                  <w:pPr>
                    <w:pStyle w:val="Normal2"/>
                    <w:spacing w:before="120" w:beforeAutospacing="0" w:after="0" w:afterAutospacing="0"/>
                    <w:jc w:val="both"/>
                    <w:rPr>
                      <w:sz w:val="18"/>
                      <w:szCs w:val="18"/>
                    </w:rPr>
                  </w:pPr>
                  <w:r w:rsidRPr="00202C33">
                    <w:rPr>
                      <w:sz w:val="18"/>
                      <w:szCs w:val="18"/>
                    </w:rPr>
                    <w:t>Notified body/</w:t>
                  </w:r>
                  <w:proofErr w:type="spellStart"/>
                  <w:r w:rsidRPr="00202C33">
                    <w:rPr>
                      <w:sz w:val="18"/>
                      <w:szCs w:val="18"/>
                    </w:rPr>
                    <w:t>ies</w:t>
                  </w:r>
                  <w:proofErr w:type="spellEnd"/>
                  <w:r w:rsidRPr="00202C33">
                    <w:rPr>
                      <w:sz w:val="18"/>
                      <w:szCs w:val="18"/>
                    </w:rPr>
                    <w:t>:</w:t>
                  </w:r>
                </w:p>
              </w:tc>
            </w:tr>
            <w:tr w:rsidR="0033066E" w:rsidRPr="00202C33" w:rsidTr="00E71618">
              <w:trPr>
                <w:gridAfter w:val="1"/>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r>
          </w:tbl>
          <w:p w:rsidR="0033066E" w:rsidRPr="00202C33" w:rsidRDefault="0033066E" w:rsidP="0033066E">
            <w:pPr>
              <w:spacing w:before="120"/>
              <w:ind w:firstLine="5"/>
              <w:rPr>
                <w:rFonts w:ascii="Times New Roman" w:eastAsia="Times New Roman" w:hAnsi="Times New Roman" w:cs="Times New Roman"/>
                <w:sz w:val="18"/>
                <w:szCs w:val="18"/>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Pr="0033066E" w:rsidRDefault="0033066E" w:rsidP="0033066E">
            <w:pPr>
              <w:spacing w:before="120"/>
              <w:jc w:val="center"/>
              <w:rPr>
                <w:rFonts w:ascii="Times New Roman" w:hAnsi="Times New Roman" w:cs="Times New Roman"/>
                <w:sz w:val="18"/>
                <w:szCs w:val="18"/>
              </w:rP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6а</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jc w:val="center"/>
              <w:rPr>
                <w:rFonts w:ascii="Times New Roman" w:hAnsi="Times New Roman" w:cs="Times New Roman"/>
                <w:sz w:val="18"/>
                <w:szCs w:val="18"/>
                <w:lang w:val="sr-Cyrl-CS"/>
              </w:rPr>
            </w:pPr>
          </w:p>
        </w:tc>
        <w:tc>
          <w:tcPr>
            <w:tcW w:w="511" w:type="pct"/>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FF4AF1" w:rsidTr="00285E9C">
        <w:trPr>
          <w:trHeight w:val="34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t>Annex III</w:t>
            </w:r>
          </w:p>
          <w:p w:rsidR="0033066E" w:rsidRPr="00202C33" w:rsidRDefault="0033066E" w:rsidP="0033066E">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6b.</w:t>
            </w:r>
          </w:p>
        </w:tc>
        <w:tc>
          <w:tcPr>
            <w:tcW w:w="1229" w:type="pct"/>
            <w:shd w:val="clear" w:color="auto" w:fill="D9D9D9" w:themeFill="background1" w:themeFillShade="D9"/>
            <w:vAlign w:val="center"/>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56"/>
              <w:gridCol w:w="2767"/>
            </w:tblGrid>
            <w:tr w:rsidR="0033066E" w:rsidRPr="00202C33" w:rsidTr="00E71618">
              <w:trPr>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6b.</w:t>
                  </w:r>
                </w:p>
              </w:tc>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European Assessment Document:</w:t>
                  </w:r>
                </w:p>
                <w:p w:rsidR="0033066E" w:rsidRPr="00202C33" w:rsidRDefault="0033066E" w:rsidP="0033066E">
                  <w:pPr>
                    <w:pStyle w:val="Normal2"/>
                    <w:spacing w:before="120" w:beforeAutospacing="0" w:after="0" w:afterAutospacing="0"/>
                    <w:jc w:val="both"/>
                    <w:rPr>
                      <w:sz w:val="18"/>
                      <w:szCs w:val="18"/>
                    </w:rPr>
                  </w:pPr>
                  <w:r w:rsidRPr="00202C33">
                    <w:rPr>
                      <w:sz w:val="18"/>
                      <w:szCs w:val="18"/>
                    </w:rPr>
                    <w:t>European Technical Assessment:</w:t>
                  </w:r>
                </w:p>
                <w:p w:rsidR="0033066E" w:rsidRPr="00202C33" w:rsidRDefault="0033066E" w:rsidP="0033066E">
                  <w:pPr>
                    <w:pStyle w:val="Normal2"/>
                    <w:spacing w:before="120" w:beforeAutospacing="0" w:after="0" w:afterAutospacing="0"/>
                    <w:jc w:val="both"/>
                    <w:rPr>
                      <w:sz w:val="18"/>
                      <w:szCs w:val="18"/>
                    </w:rPr>
                  </w:pPr>
                  <w:r w:rsidRPr="00202C33">
                    <w:rPr>
                      <w:sz w:val="18"/>
                      <w:szCs w:val="18"/>
                    </w:rPr>
                    <w:t>Technical Assessment Body:</w:t>
                  </w:r>
                </w:p>
                <w:p w:rsidR="0033066E" w:rsidRPr="00202C33" w:rsidRDefault="0033066E" w:rsidP="0033066E">
                  <w:pPr>
                    <w:pStyle w:val="Normal2"/>
                    <w:spacing w:before="120" w:beforeAutospacing="0" w:after="0" w:afterAutospacing="0"/>
                    <w:jc w:val="both"/>
                    <w:rPr>
                      <w:sz w:val="18"/>
                      <w:szCs w:val="18"/>
                    </w:rPr>
                  </w:pPr>
                  <w:r w:rsidRPr="00202C33">
                    <w:rPr>
                      <w:sz w:val="18"/>
                      <w:szCs w:val="18"/>
                    </w:rPr>
                    <w:t>Notified body/</w:t>
                  </w:r>
                  <w:proofErr w:type="spellStart"/>
                  <w:r w:rsidRPr="00202C33">
                    <w:rPr>
                      <w:sz w:val="18"/>
                      <w:szCs w:val="18"/>
                    </w:rPr>
                    <w:t>ies</w:t>
                  </w:r>
                  <w:proofErr w:type="spellEnd"/>
                  <w:r w:rsidRPr="00202C33">
                    <w:rPr>
                      <w:sz w:val="18"/>
                      <w:szCs w:val="18"/>
                    </w:rPr>
                    <w:t>:</w:t>
                  </w:r>
                </w:p>
              </w:tc>
            </w:tr>
            <w:tr w:rsidR="0033066E" w:rsidRPr="00202C33" w:rsidTr="00E71618">
              <w:trPr>
                <w:gridAfter w:val="1"/>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r>
          </w:tbl>
          <w:p w:rsidR="0033066E" w:rsidRPr="00202C33" w:rsidRDefault="0033066E" w:rsidP="0033066E">
            <w:pPr>
              <w:spacing w:before="120"/>
              <w:ind w:firstLine="5"/>
              <w:rPr>
                <w:rFonts w:ascii="Times New Roman" w:eastAsia="Times New Roman" w:hAnsi="Times New Roman" w:cs="Times New Roman"/>
                <w:sz w:val="18"/>
                <w:szCs w:val="18"/>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Pr="0033066E" w:rsidRDefault="0033066E" w:rsidP="0033066E">
            <w:pPr>
              <w:spacing w:before="120"/>
              <w:jc w:val="center"/>
              <w:rPr>
                <w:rFonts w:ascii="Times New Roman" w:hAnsi="Times New Roman" w:cs="Times New Roman"/>
                <w:sz w:val="18"/>
                <w:szCs w:val="18"/>
              </w:rP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A86E5F" w:rsidP="0033066E">
            <w:pPr>
              <w:spacing w:before="120"/>
              <w:jc w:val="center"/>
              <w:rPr>
                <w:rFonts w:ascii="Times New Roman" w:hAnsi="Times New Roman" w:cs="Times New Roman"/>
                <w:sz w:val="18"/>
                <w:szCs w:val="18"/>
                <w:lang w:val="sr-Cyrl-CS"/>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 xml:space="preserve">ма која се може упоредити са Тачком </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6б</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w:t>
            </w:r>
            <w:r>
              <w:rPr>
                <w:rFonts w:ascii="Times New Roman" w:hAnsi="Times New Roman" w:cs="Times New Roman"/>
                <w:sz w:val="18"/>
                <w:szCs w:val="18"/>
                <w:lang w:val="ru-RU"/>
              </w:rPr>
              <w:lastRenderedPageBreak/>
              <w:t>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both"/>
              <w:rPr>
                <w:rFonts w:ascii="Times New Roman" w:hAnsi="Times New Roman" w:cs="Times New Roman"/>
                <w:sz w:val="18"/>
                <w:szCs w:val="18"/>
                <w:lang w:val="ru-RU"/>
              </w:rPr>
            </w:pPr>
          </w:p>
        </w:tc>
        <w:tc>
          <w:tcPr>
            <w:tcW w:w="511" w:type="pct"/>
            <w:vAlign w:val="center"/>
          </w:tcPr>
          <w:p w:rsidR="0033066E" w:rsidRPr="00FF4AF1" w:rsidRDefault="0033066E" w:rsidP="0033066E">
            <w:pPr>
              <w:spacing w:before="120"/>
              <w:jc w:val="center"/>
              <w:rPr>
                <w:rFonts w:ascii="Times New Roman" w:hAnsi="Times New Roman" w:cs="Times New Roman"/>
                <w:sz w:val="18"/>
                <w:szCs w:val="18"/>
                <w:lang w:val="ru-RU"/>
              </w:rPr>
            </w:pPr>
          </w:p>
        </w:tc>
      </w:tr>
      <w:tr w:rsidR="0033066E" w:rsidRPr="00BF3B38" w:rsidTr="00285E9C">
        <w:trPr>
          <w:trHeight w:val="34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lastRenderedPageBreak/>
              <w:t>Annex III</w:t>
            </w:r>
          </w:p>
          <w:p w:rsidR="0033066E" w:rsidRPr="00202C33" w:rsidRDefault="0033066E" w:rsidP="0033066E">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7.</w:t>
            </w:r>
          </w:p>
        </w:tc>
        <w:tc>
          <w:tcPr>
            <w:tcW w:w="1229" w:type="pct"/>
            <w:shd w:val="clear" w:color="auto" w:fill="D9D9D9" w:themeFill="background1" w:themeFillShade="D9"/>
            <w:vAlign w:val="center"/>
          </w:tcPr>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4"/>
              <w:gridCol w:w="2809"/>
            </w:tblGrid>
            <w:tr w:rsidR="0033066E" w:rsidRPr="00202C33" w:rsidTr="00E71618">
              <w:trPr>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7.</w:t>
                  </w:r>
                </w:p>
              </w:tc>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r w:rsidRPr="00202C33">
                    <w:rPr>
                      <w:sz w:val="18"/>
                      <w:szCs w:val="18"/>
                    </w:rPr>
                    <w:t>Declared performance/s:</w:t>
                  </w:r>
                </w:p>
              </w:tc>
            </w:tr>
            <w:tr w:rsidR="0033066E" w:rsidRPr="00202C33" w:rsidTr="00E71618">
              <w:trPr>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r>
            <w:tr w:rsidR="0033066E" w:rsidRPr="00202C33" w:rsidTr="00E71618">
              <w:trPr>
                <w:gridAfter w:val="1"/>
                <w:tblCellSpacing w:w="0" w:type="dxa"/>
              </w:trPr>
              <w:tc>
                <w:tcPr>
                  <w:tcW w:w="0" w:type="auto"/>
                  <w:shd w:val="clear" w:color="auto" w:fill="D9D9D9" w:themeFill="background1" w:themeFillShade="D9"/>
                  <w:hideMark/>
                </w:tcPr>
                <w:p w:rsidR="0033066E" w:rsidRPr="00202C33" w:rsidRDefault="0033066E" w:rsidP="0033066E">
                  <w:pPr>
                    <w:pStyle w:val="Normal2"/>
                    <w:spacing w:before="120" w:beforeAutospacing="0" w:after="0" w:afterAutospacing="0"/>
                    <w:jc w:val="both"/>
                    <w:rPr>
                      <w:sz w:val="18"/>
                      <w:szCs w:val="18"/>
                    </w:rPr>
                  </w:pPr>
                </w:p>
              </w:tc>
            </w:tr>
          </w:tbl>
          <w:p w:rsidR="0033066E" w:rsidRPr="00202C33" w:rsidRDefault="0033066E" w:rsidP="0033066E">
            <w:pPr>
              <w:spacing w:before="120"/>
              <w:ind w:firstLine="5"/>
              <w:rPr>
                <w:rFonts w:ascii="Times New Roman" w:eastAsia="Times New Roman" w:hAnsi="Times New Roman" w:cs="Times New Roman"/>
                <w:sz w:val="18"/>
                <w:szCs w:val="18"/>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Pr="0033066E" w:rsidRDefault="0033066E" w:rsidP="0033066E">
            <w:pPr>
              <w:spacing w:before="120"/>
              <w:jc w:val="center"/>
              <w:rPr>
                <w:rFonts w:ascii="Times New Roman" w:hAnsi="Times New Roman" w:cs="Times New Roman"/>
                <w:sz w:val="18"/>
                <w:szCs w:val="18"/>
              </w:rP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BF3B38" w:rsidRDefault="00A86E5F" w:rsidP="0033066E">
            <w:pPr>
              <w:spacing w:before="120"/>
              <w:jc w:val="center"/>
              <w:rPr>
                <w:rFonts w:ascii="Times New Roman" w:hAnsi="Times New Roman" w:cs="Times New Roman"/>
                <w:sz w:val="18"/>
                <w:szCs w:val="18"/>
                <w:lang w:val="ru-RU"/>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7</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jc w:val="center"/>
              <w:rPr>
                <w:rFonts w:ascii="Times New Roman" w:hAnsi="Times New Roman" w:cs="Times New Roman"/>
                <w:sz w:val="18"/>
                <w:szCs w:val="18"/>
                <w:lang w:val="sr-Cyrl-CS"/>
              </w:rPr>
            </w:pPr>
          </w:p>
        </w:tc>
        <w:tc>
          <w:tcPr>
            <w:tcW w:w="511" w:type="pct"/>
            <w:vAlign w:val="center"/>
          </w:tcPr>
          <w:p w:rsidR="0033066E" w:rsidRPr="00BF3B38" w:rsidRDefault="0033066E" w:rsidP="0033066E">
            <w:pPr>
              <w:spacing w:before="120"/>
              <w:jc w:val="center"/>
              <w:rPr>
                <w:rFonts w:ascii="Times New Roman" w:hAnsi="Times New Roman" w:cs="Times New Roman"/>
                <w:sz w:val="18"/>
                <w:szCs w:val="18"/>
                <w:lang w:val="ru-RU"/>
              </w:rPr>
            </w:pPr>
          </w:p>
        </w:tc>
      </w:tr>
      <w:tr w:rsidR="0033066E" w:rsidRPr="00BF3B38" w:rsidTr="00285E9C">
        <w:trPr>
          <w:trHeight w:val="34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t>Annex III</w:t>
            </w:r>
          </w:p>
          <w:p w:rsidR="0033066E" w:rsidRPr="00202C33" w:rsidRDefault="0033066E" w:rsidP="0033066E">
            <w:pPr>
              <w:spacing w:before="120"/>
              <w:jc w:val="center"/>
              <w:rPr>
                <w:rFonts w:ascii="Times New Roman" w:hAnsi="Times New Roman" w:cs="Times New Roman"/>
                <w:sz w:val="18"/>
                <w:szCs w:val="18"/>
                <w:lang w:val="sr-Latn-CS"/>
              </w:rPr>
            </w:pPr>
            <w:r w:rsidRPr="00202C33">
              <w:rPr>
                <w:rFonts w:ascii="Times New Roman" w:hAnsi="Times New Roman" w:cs="Times New Roman"/>
                <w:sz w:val="18"/>
                <w:szCs w:val="18"/>
              </w:rPr>
              <w:t>8.</w:t>
            </w:r>
          </w:p>
        </w:tc>
        <w:tc>
          <w:tcPr>
            <w:tcW w:w="1229" w:type="pct"/>
            <w:shd w:val="clear" w:color="auto" w:fill="D9D9D9" w:themeFill="background1" w:themeFillShade="D9"/>
            <w:vAlign w:val="center"/>
          </w:tcPr>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lang w:val="sr-Cyrl-CS"/>
              </w:rPr>
              <w:t xml:space="preserve">8. </w:t>
            </w:r>
            <w:r w:rsidRPr="00202C33">
              <w:rPr>
                <w:rFonts w:ascii="Times New Roman" w:eastAsia="Times New Roman" w:hAnsi="Times New Roman" w:cs="Times New Roman"/>
                <w:sz w:val="18"/>
                <w:szCs w:val="18"/>
              </w:rPr>
              <w:t>Appropriate Technical Documentation and/or Specific Technical Documentation:</w:t>
            </w:r>
          </w:p>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The performance of the product identified above is in conformity with the set of declared performance/s. This declaration of performance is issued, in accordance with Regulation (EU) No 305/2011, under the sole responsibility of the manufacturer identified above.</w:t>
            </w:r>
          </w:p>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Signed for and on behalf of the manufacturer by:</w:t>
            </w:r>
          </w:p>
          <w:tbl>
            <w:tblPr>
              <w:tblW w:w="5000" w:type="pct"/>
              <w:tblCellSpacing w:w="0" w:type="dxa"/>
              <w:tblCellMar>
                <w:left w:w="0" w:type="dxa"/>
                <w:right w:w="0" w:type="dxa"/>
              </w:tblCellMar>
              <w:tblLook w:val="04A0" w:firstRow="1" w:lastRow="0" w:firstColumn="1" w:lastColumn="0" w:noHBand="0" w:noVBand="1"/>
            </w:tblPr>
            <w:tblGrid>
              <w:gridCol w:w="245"/>
              <w:gridCol w:w="2778"/>
            </w:tblGrid>
            <w:tr w:rsidR="0033066E" w:rsidRPr="00202C33" w:rsidTr="005A31D8">
              <w:trPr>
                <w:tblCellSpacing w:w="0" w:type="dxa"/>
              </w:trPr>
              <w:tc>
                <w:tcPr>
                  <w:tcW w:w="0" w:type="auto"/>
                  <w:hideMark/>
                </w:tcPr>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 </w:t>
                  </w:r>
                </w:p>
              </w:tc>
              <w:tc>
                <w:tcPr>
                  <w:tcW w:w="0" w:type="auto"/>
                  <w:hideMark/>
                </w:tcPr>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w:t>
                  </w:r>
                  <w:r w:rsidRPr="00202C33">
                    <w:rPr>
                      <w:rFonts w:ascii="Times New Roman" w:eastAsia="Times New Roman" w:hAnsi="Times New Roman" w:cs="Times New Roman"/>
                      <w:i/>
                      <w:iCs/>
                      <w:sz w:val="18"/>
                      <w:szCs w:val="18"/>
                    </w:rPr>
                    <w:t>name</w:t>
                  </w:r>
                  <w:r w:rsidRPr="00202C33">
                    <w:rPr>
                      <w:rFonts w:ascii="Times New Roman" w:eastAsia="Times New Roman" w:hAnsi="Times New Roman" w:cs="Times New Roman"/>
                      <w:sz w:val="18"/>
                      <w:szCs w:val="18"/>
                    </w:rPr>
                    <w:t>]</w:t>
                  </w:r>
                </w:p>
              </w:tc>
            </w:tr>
          </w:tbl>
          <w:p w:rsidR="0033066E" w:rsidRPr="00202C33" w:rsidRDefault="0033066E" w:rsidP="0033066E">
            <w:pPr>
              <w:spacing w:before="120"/>
              <w:rPr>
                <w:rFonts w:ascii="Times New Roman" w:eastAsia="Times New Roman" w:hAnsi="Times New Roman" w:cs="Times New Roman"/>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66"/>
              <w:gridCol w:w="2957"/>
            </w:tblGrid>
            <w:tr w:rsidR="0033066E" w:rsidRPr="00202C33" w:rsidTr="005A31D8">
              <w:trPr>
                <w:tblCellSpacing w:w="0" w:type="dxa"/>
              </w:trPr>
              <w:tc>
                <w:tcPr>
                  <w:tcW w:w="0" w:type="auto"/>
                  <w:hideMark/>
                </w:tcPr>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 </w:t>
                  </w:r>
                </w:p>
              </w:tc>
              <w:tc>
                <w:tcPr>
                  <w:tcW w:w="0" w:type="auto"/>
                  <w:hideMark/>
                </w:tcPr>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At [</w:t>
                  </w:r>
                  <w:r w:rsidRPr="00202C33">
                    <w:rPr>
                      <w:rFonts w:ascii="Times New Roman" w:eastAsia="Times New Roman" w:hAnsi="Times New Roman" w:cs="Times New Roman"/>
                      <w:i/>
                      <w:iCs/>
                      <w:sz w:val="18"/>
                      <w:szCs w:val="18"/>
                    </w:rPr>
                    <w:t>place</w:t>
                  </w:r>
                  <w:r w:rsidRPr="00202C33">
                    <w:rPr>
                      <w:rFonts w:ascii="Times New Roman" w:eastAsia="Times New Roman" w:hAnsi="Times New Roman" w:cs="Times New Roman"/>
                      <w:sz w:val="18"/>
                      <w:szCs w:val="18"/>
                    </w:rPr>
                    <w:t>] on [</w:t>
                  </w:r>
                  <w:r w:rsidRPr="00202C33">
                    <w:rPr>
                      <w:rFonts w:ascii="Times New Roman" w:eastAsia="Times New Roman" w:hAnsi="Times New Roman" w:cs="Times New Roman"/>
                      <w:i/>
                      <w:iCs/>
                      <w:sz w:val="18"/>
                      <w:szCs w:val="18"/>
                    </w:rPr>
                    <w:t>date of issue</w:t>
                  </w:r>
                  <w:r w:rsidRPr="00202C33">
                    <w:rPr>
                      <w:rFonts w:ascii="Times New Roman" w:eastAsia="Times New Roman" w:hAnsi="Times New Roman" w:cs="Times New Roman"/>
                      <w:sz w:val="18"/>
                      <w:szCs w:val="18"/>
                    </w:rPr>
                    <w:t>]</w:t>
                  </w:r>
                </w:p>
              </w:tc>
            </w:tr>
          </w:tbl>
          <w:p w:rsidR="0033066E" w:rsidRPr="00202C33" w:rsidRDefault="0033066E" w:rsidP="0033066E">
            <w:pPr>
              <w:spacing w:before="120"/>
              <w:rPr>
                <w:rFonts w:ascii="Times New Roman" w:eastAsia="Times New Roman" w:hAnsi="Times New Roman" w:cs="Times New Roman"/>
                <w:vanish/>
                <w:sz w:val="18"/>
                <w:szCs w:val="18"/>
              </w:rPr>
            </w:pPr>
          </w:p>
          <w:tbl>
            <w:tblPr>
              <w:tblW w:w="5000" w:type="pct"/>
              <w:tblCellSpacing w:w="0" w:type="dxa"/>
              <w:tblCellMar>
                <w:left w:w="0" w:type="dxa"/>
                <w:right w:w="0" w:type="dxa"/>
              </w:tblCellMar>
              <w:tblLook w:val="04A0" w:firstRow="1" w:lastRow="0" w:firstColumn="1" w:lastColumn="0" w:noHBand="0" w:noVBand="1"/>
            </w:tblPr>
            <w:tblGrid>
              <w:gridCol w:w="161"/>
              <w:gridCol w:w="2862"/>
            </w:tblGrid>
            <w:tr w:rsidR="0033066E" w:rsidRPr="00202C33" w:rsidTr="005A31D8">
              <w:trPr>
                <w:tblCellSpacing w:w="0" w:type="dxa"/>
              </w:trPr>
              <w:tc>
                <w:tcPr>
                  <w:tcW w:w="0" w:type="auto"/>
                  <w:hideMark/>
                </w:tcPr>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 </w:t>
                  </w:r>
                </w:p>
              </w:tc>
              <w:tc>
                <w:tcPr>
                  <w:tcW w:w="0" w:type="auto"/>
                  <w:hideMark/>
                </w:tcPr>
                <w:p w:rsidR="0033066E" w:rsidRPr="00202C33" w:rsidRDefault="0033066E" w:rsidP="0033066E">
                  <w:pPr>
                    <w:spacing w:before="120"/>
                    <w:jc w:val="both"/>
                    <w:rPr>
                      <w:rFonts w:ascii="Times New Roman" w:eastAsia="Times New Roman" w:hAnsi="Times New Roman" w:cs="Times New Roman"/>
                      <w:sz w:val="18"/>
                      <w:szCs w:val="18"/>
                    </w:rPr>
                  </w:pPr>
                  <w:r w:rsidRPr="00202C33">
                    <w:rPr>
                      <w:rFonts w:ascii="Times New Roman" w:eastAsia="Times New Roman" w:hAnsi="Times New Roman" w:cs="Times New Roman"/>
                      <w:sz w:val="18"/>
                      <w:szCs w:val="18"/>
                    </w:rPr>
                    <w:t>[</w:t>
                  </w:r>
                  <w:r w:rsidRPr="00202C33">
                    <w:rPr>
                      <w:rFonts w:ascii="Times New Roman" w:eastAsia="Times New Roman" w:hAnsi="Times New Roman" w:cs="Times New Roman"/>
                      <w:i/>
                      <w:iCs/>
                      <w:sz w:val="18"/>
                      <w:szCs w:val="18"/>
                    </w:rPr>
                    <w:t>signature</w:t>
                  </w:r>
                  <w:r w:rsidRPr="00202C33">
                    <w:rPr>
                      <w:rFonts w:ascii="Times New Roman" w:eastAsia="Times New Roman" w:hAnsi="Times New Roman" w:cs="Times New Roman"/>
                      <w:sz w:val="18"/>
                      <w:szCs w:val="18"/>
                    </w:rPr>
                    <w:t>]</w:t>
                  </w:r>
                </w:p>
              </w:tc>
            </w:tr>
          </w:tbl>
          <w:p w:rsidR="0033066E" w:rsidRPr="00202C33" w:rsidRDefault="0033066E" w:rsidP="0033066E">
            <w:pPr>
              <w:spacing w:before="120"/>
              <w:jc w:val="both"/>
              <w:rPr>
                <w:rFonts w:ascii="Times New Roman" w:eastAsia="Times New Roman" w:hAnsi="Times New Roman" w:cs="Times New Roman"/>
                <w:sz w:val="18"/>
                <w:szCs w:val="18"/>
              </w:rPr>
            </w:pP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Pr="0033066E" w:rsidRDefault="0033066E" w:rsidP="0033066E">
            <w:pPr>
              <w:spacing w:before="120"/>
              <w:jc w:val="center"/>
              <w:rPr>
                <w:rFonts w:ascii="Times New Roman" w:hAnsi="Times New Roman" w:cs="Times New Roman"/>
                <w:sz w:val="18"/>
                <w:szCs w:val="18"/>
              </w:rP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Latn-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BF3B38" w:rsidRDefault="00235718" w:rsidP="0033066E">
            <w:pPr>
              <w:spacing w:before="120"/>
              <w:jc w:val="center"/>
              <w:rPr>
                <w:rFonts w:ascii="Times New Roman" w:hAnsi="Times New Roman" w:cs="Times New Roman"/>
                <w:sz w:val="18"/>
                <w:szCs w:val="18"/>
                <w:lang w:val="ru-RU"/>
              </w:rPr>
            </w:pPr>
            <w:r>
              <w:rPr>
                <w:rFonts w:ascii="Times New Roman" w:hAnsi="Times New Roman" w:cs="Times New Roman"/>
                <w:sz w:val="18"/>
                <w:szCs w:val="18"/>
                <w:lang w:val="sr-Cyrl-CS"/>
              </w:rPr>
              <w:t>НУ</w:t>
            </w:r>
          </w:p>
        </w:tc>
        <w:tc>
          <w:tcPr>
            <w:tcW w:w="729" w:type="pct"/>
            <w:gridSpan w:val="2"/>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8</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both"/>
              <w:rPr>
                <w:rFonts w:ascii="Times New Roman" w:hAnsi="Times New Roman" w:cs="Times New Roman"/>
                <w:sz w:val="18"/>
                <w:szCs w:val="18"/>
                <w:lang w:val="sr-Cyrl-CS"/>
              </w:rPr>
            </w:pPr>
          </w:p>
        </w:tc>
        <w:tc>
          <w:tcPr>
            <w:tcW w:w="511" w:type="pct"/>
            <w:vAlign w:val="center"/>
          </w:tcPr>
          <w:p w:rsidR="0033066E" w:rsidRPr="00BF3B38" w:rsidRDefault="0033066E" w:rsidP="0033066E">
            <w:pPr>
              <w:spacing w:before="120"/>
              <w:jc w:val="center"/>
              <w:rPr>
                <w:rFonts w:ascii="Times New Roman" w:hAnsi="Times New Roman" w:cs="Times New Roman"/>
                <w:sz w:val="18"/>
                <w:szCs w:val="18"/>
                <w:lang w:val="ru-RU"/>
              </w:rPr>
            </w:pPr>
          </w:p>
        </w:tc>
      </w:tr>
      <w:tr w:rsidR="0033066E" w:rsidRPr="00202C33" w:rsidTr="00285E9C">
        <w:trPr>
          <w:trHeight w:val="2614"/>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lastRenderedPageBreak/>
              <w:t>ANNEX III</w:t>
            </w:r>
          </w:p>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t>1.</w:t>
            </w:r>
          </w:p>
          <w:p w:rsidR="0033066E" w:rsidRPr="00202C33" w:rsidRDefault="0033066E" w:rsidP="0033066E">
            <w:pPr>
              <w:spacing w:before="120"/>
              <w:jc w:val="center"/>
              <w:rPr>
                <w:rFonts w:ascii="Times New Roman" w:hAnsi="Times New Roman" w:cs="Times New Roman"/>
                <w:sz w:val="18"/>
                <w:szCs w:val="18"/>
              </w:rPr>
            </w:pPr>
          </w:p>
        </w:tc>
        <w:tc>
          <w:tcPr>
            <w:tcW w:w="1229" w:type="pct"/>
            <w:shd w:val="clear" w:color="auto" w:fill="D9D9D9" w:themeFill="background1" w:themeFillShade="D9"/>
            <w:vAlign w:val="center"/>
          </w:tcPr>
          <w:p w:rsidR="0033066E" w:rsidRPr="00837C18" w:rsidRDefault="0033066E" w:rsidP="0033066E">
            <w:pPr>
              <w:spacing w:before="120"/>
              <w:jc w:val="both"/>
              <w:rPr>
                <w:rFonts w:ascii="Times New Roman" w:eastAsia="Times New Roman" w:hAnsi="Times New Roman" w:cs="Times New Roman"/>
                <w:b/>
                <w:bCs/>
                <w:sz w:val="18"/>
                <w:szCs w:val="18"/>
              </w:rPr>
            </w:pPr>
            <w:r w:rsidRPr="00837C18">
              <w:rPr>
                <w:rFonts w:ascii="Times New Roman" w:eastAsia="Times New Roman" w:hAnsi="Times New Roman" w:cs="Times New Roman"/>
                <w:b/>
                <w:bCs/>
                <w:sz w:val="18"/>
                <w:szCs w:val="18"/>
              </w:rPr>
              <w:t>1.   GENERAL</w:t>
            </w:r>
          </w:p>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These instructions aim at guiding the manufacturers when drawing up a declaration of performance compliant with Regulation (EU) No 305/2011, following the model of this Annex (hereinafter referred to as “the model”).</w:t>
            </w:r>
          </w:p>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These instructions are not part of the declarations of performance to be issued by manufacturers and should not be enclosed to these declarations of performance.</w:t>
            </w:r>
          </w:p>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When drawing up a declaration of performance, the manufacturer shall:</w:t>
            </w: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33066E" w:rsidRPr="00202C33" w:rsidTr="00E71618">
              <w:trPr>
                <w:tblCellSpacing w:w="0" w:type="dxa"/>
              </w:trPr>
              <w:tc>
                <w:tcPr>
                  <w:tcW w:w="0" w:type="auto"/>
                  <w:shd w:val="clear" w:color="auto" w:fill="D9D9D9" w:themeFill="background1" w:themeFillShade="D9"/>
                  <w:hideMark/>
                </w:tcPr>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(1)</w:t>
                  </w:r>
                </w:p>
              </w:tc>
              <w:tc>
                <w:tcPr>
                  <w:tcW w:w="0" w:type="auto"/>
                  <w:shd w:val="clear" w:color="auto" w:fill="D9D9D9" w:themeFill="background1" w:themeFillShade="D9"/>
                  <w:hideMark/>
                </w:tcPr>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reproduce the texts and the headlines of the model which are not indicated between square brackets;</w:t>
                  </w:r>
                </w:p>
              </w:tc>
            </w:tr>
          </w:tbl>
          <w:p w:rsidR="0033066E" w:rsidRPr="00837C18" w:rsidRDefault="0033066E" w:rsidP="0033066E">
            <w:pPr>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33066E" w:rsidRPr="00202C33" w:rsidTr="00E71618">
              <w:trPr>
                <w:tblCellSpacing w:w="0" w:type="dxa"/>
              </w:trPr>
              <w:tc>
                <w:tcPr>
                  <w:tcW w:w="0" w:type="auto"/>
                  <w:shd w:val="clear" w:color="auto" w:fill="D9D9D9" w:themeFill="background1" w:themeFillShade="D9"/>
                  <w:hideMark/>
                </w:tcPr>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(2)</w:t>
                  </w:r>
                </w:p>
              </w:tc>
              <w:tc>
                <w:tcPr>
                  <w:tcW w:w="0" w:type="auto"/>
                  <w:shd w:val="clear" w:color="auto" w:fill="D9D9D9" w:themeFill="background1" w:themeFillShade="D9"/>
                  <w:hideMark/>
                </w:tcPr>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replace the blank spaces and square brackets by inserting the necessary information.</w:t>
                  </w:r>
                </w:p>
              </w:tc>
            </w:tr>
          </w:tbl>
          <w:p w:rsidR="0033066E" w:rsidRPr="00202C33"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Manufacturers may also include in the declaration of performance the reference to the website where the copy of the declaration of performance is made available in accordance with Article 7(3) of Regulation (EU) No 305/2011. This may be included after point 8 or in another place where it does not affect the readability and clarity of the mandatory information.</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33066E">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sidRPr="0033066E">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1</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center"/>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lang w:val="sr-Cyrl-CS"/>
              </w:rPr>
            </w:pPr>
          </w:p>
        </w:tc>
      </w:tr>
      <w:tr w:rsidR="0033066E" w:rsidRPr="00202C33" w:rsidTr="00285E9C">
        <w:trPr>
          <w:trHeight w:val="629"/>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t>ANNEX III</w:t>
            </w:r>
          </w:p>
          <w:p w:rsidR="0033066E" w:rsidRPr="00202C33" w:rsidRDefault="0033066E" w:rsidP="0033066E">
            <w:pPr>
              <w:spacing w:before="120"/>
              <w:jc w:val="center"/>
              <w:rPr>
                <w:rFonts w:ascii="Times New Roman" w:eastAsia="Arial Unicode MS" w:hAnsi="Times New Roman" w:cs="Times New Roman"/>
                <w:i/>
                <w:iCs/>
                <w:sz w:val="18"/>
                <w:szCs w:val="18"/>
                <w:shd w:val="clear" w:color="auto" w:fill="FFFFFF"/>
              </w:rPr>
            </w:pPr>
            <w:r w:rsidRPr="00202C33">
              <w:rPr>
                <w:rFonts w:ascii="Times New Roman" w:hAnsi="Times New Roman" w:cs="Times New Roman"/>
                <w:sz w:val="18"/>
                <w:szCs w:val="18"/>
              </w:rPr>
              <w:t>2.</w:t>
            </w:r>
          </w:p>
        </w:tc>
        <w:tc>
          <w:tcPr>
            <w:tcW w:w="1229" w:type="pct"/>
            <w:shd w:val="clear" w:color="auto" w:fill="D9D9D9" w:themeFill="background1" w:themeFillShade="D9"/>
            <w:vAlign w:val="center"/>
          </w:tcPr>
          <w:p w:rsidR="0033066E" w:rsidRPr="00837C18" w:rsidRDefault="0033066E" w:rsidP="0033066E">
            <w:pPr>
              <w:spacing w:before="120"/>
              <w:jc w:val="both"/>
              <w:rPr>
                <w:rFonts w:ascii="Times New Roman" w:eastAsia="Times New Roman" w:hAnsi="Times New Roman" w:cs="Times New Roman"/>
                <w:b/>
                <w:bCs/>
                <w:sz w:val="18"/>
                <w:szCs w:val="18"/>
              </w:rPr>
            </w:pPr>
            <w:r w:rsidRPr="00837C18">
              <w:rPr>
                <w:rFonts w:ascii="Times New Roman" w:eastAsia="Times New Roman" w:hAnsi="Times New Roman" w:cs="Times New Roman"/>
                <w:b/>
                <w:bCs/>
                <w:sz w:val="18"/>
                <w:szCs w:val="18"/>
              </w:rPr>
              <w:t>2.   FLEXIBILITY</w:t>
            </w:r>
          </w:p>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 xml:space="preserve">Providing that the mandatory information required by Article 6 of Regulation (EU) No 305/2011 is provided in a clear, complete and coherent manner, when </w:t>
            </w:r>
            <w:r w:rsidRPr="00837C18">
              <w:rPr>
                <w:rFonts w:ascii="Times New Roman" w:eastAsia="Times New Roman" w:hAnsi="Times New Roman" w:cs="Times New Roman"/>
                <w:sz w:val="18"/>
                <w:szCs w:val="18"/>
              </w:rPr>
              <w:lastRenderedPageBreak/>
              <w:t>drawing up a declaration of performance, it is possible to:</w:t>
            </w: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7"/>
              <w:gridCol w:w="2806"/>
            </w:tblGrid>
            <w:tr w:rsidR="0033066E" w:rsidRPr="00202C33" w:rsidTr="00202C33">
              <w:trPr>
                <w:tblCellSpacing w:w="0" w:type="dxa"/>
              </w:trPr>
              <w:tc>
                <w:tcPr>
                  <w:tcW w:w="0" w:type="auto"/>
                  <w:shd w:val="clear" w:color="auto" w:fill="D9D9D9" w:themeFill="background1" w:themeFillShade="D9"/>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(1)</w:t>
                  </w:r>
                </w:p>
              </w:tc>
              <w:tc>
                <w:tcPr>
                  <w:tcW w:w="0" w:type="auto"/>
                  <w:shd w:val="clear" w:color="auto" w:fill="D9D9D9" w:themeFill="background1" w:themeFillShade="D9"/>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use a different layout as in the model;</w:t>
                  </w:r>
                </w:p>
              </w:tc>
            </w:tr>
          </w:tbl>
          <w:p w:rsidR="0033066E" w:rsidRPr="00837C18" w:rsidRDefault="0033066E" w:rsidP="0033066E">
            <w:pPr>
              <w:shd w:val="clear" w:color="auto" w:fill="D9D9D9" w:themeFill="background1" w:themeFillShade="D9"/>
              <w:spacing w:before="120"/>
              <w:rPr>
                <w:rFonts w:ascii="Times New Roman" w:eastAsia="Times New Roman" w:hAnsi="Times New Roman" w:cs="Times New Roman"/>
                <w:vanish/>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0"/>
              <w:gridCol w:w="2813"/>
            </w:tblGrid>
            <w:tr w:rsidR="0033066E" w:rsidRPr="00202C33" w:rsidTr="00837C18">
              <w:trPr>
                <w:tblCellSpacing w:w="0" w:type="dxa"/>
              </w:trPr>
              <w:tc>
                <w:tcPr>
                  <w:tcW w:w="0" w:type="auto"/>
                  <w:shd w:val="clear" w:color="auto" w:fill="FFFFFF"/>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(2)</w:t>
                  </w:r>
                </w:p>
              </w:tc>
              <w:tc>
                <w:tcPr>
                  <w:tcW w:w="0" w:type="auto"/>
                  <w:shd w:val="clear" w:color="auto" w:fill="FFFFFF"/>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combine the points of the model by presenting some of them together;</w:t>
                  </w:r>
                </w:p>
              </w:tc>
            </w:tr>
          </w:tbl>
          <w:p w:rsidR="0033066E" w:rsidRPr="00837C18" w:rsidRDefault="0033066E" w:rsidP="0033066E">
            <w:pPr>
              <w:shd w:val="clear" w:color="auto" w:fill="D9D9D9" w:themeFill="background1" w:themeFillShade="D9"/>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33066E" w:rsidRPr="00202C33" w:rsidTr="00202C33">
              <w:trPr>
                <w:tblCellSpacing w:w="0" w:type="dxa"/>
              </w:trPr>
              <w:tc>
                <w:tcPr>
                  <w:tcW w:w="0" w:type="auto"/>
                  <w:shd w:val="clear" w:color="auto" w:fill="D9D9D9" w:themeFill="background1" w:themeFillShade="D9"/>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(3)</w:t>
                  </w:r>
                </w:p>
              </w:tc>
              <w:tc>
                <w:tcPr>
                  <w:tcW w:w="0" w:type="auto"/>
                  <w:shd w:val="clear" w:color="auto" w:fill="D9D9D9" w:themeFill="background1" w:themeFillShade="D9"/>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present the points of the model in a different order or using one or more tables;</w:t>
                  </w:r>
                </w:p>
              </w:tc>
            </w:tr>
          </w:tbl>
          <w:p w:rsidR="0033066E" w:rsidRPr="00837C18" w:rsidRDefault="0033066E" w:rsidP="0033066E">
            <w:pPr>
              <w:shd w:val="clear" w:color="auto" w:fill="D9D9D9" w:themeFill="background1" w:themeFillShade="D9"/>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33066E" w:rsidRPr="00202C33" w:rsidTr="00202C33">
              <w:trPr>
                <w:tblCellSpacing w:w="0" w:type="dxa"/>
              </w:trPr>
              <w:tc>
                <w:tcPr>
                  <w:tcW w:w="0" w:type="auto"/>
                  <w:shd w:val="clear" w:color="auto" w:fill="D9D9D9" w:themeFill="background1" w:themeFillShade="D9"/>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(4)</w:t>
                  </w:r>
                </w:p>
              </w:tc>
              <w:tc>
                <w:tcPr>
                  <w:tcW w:w="0" w:type="auto"/>
                  <w:shd w:val="clear" w:color="auto" w:fill="D9D9D9" w:themeFill="background1" w:themeFillShade="D9"/>
                  <w:hideMark/>
                </w:tcPr>
                <w:p w:rsidR="0033066E" w:rsidRPr="00837C18" w:rsidRDefault="0033066E" w:rsidP="0033066E">
                  <w:pPr>
                    <w:shd w:val="clear" w:color="auto" w:fill="D9D9D9" w:themeFill="background1" w:themeFillShade="D9"/>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 xml:space="preserve">omit some points of the model which are not relevant for the product for which a declaration of performance is drawn up. For example, this is the case since the declaration of performance may be based either on a </w:t>
                  </w:r>
                  <w:proofErr w:type="spellStart"/>
                  <w:r w:rsidRPr="00837C18">
                    <w:rPr>
                      <w:rFonts w:ascii="Times New Roman" w:eastAsia="Times New Roman" w:hAnsi="Times New Roman" w:cs="Times New Roman"/>
                      <w:sz w:val="18"/>
                      <w:szCs w:val="18"/>
                    </w:rPr>
                    <w:t>harmonised</w:t>
                  </w:r>
                  <w:proofErr w:type="spellEnd"/>
                  <w:r w:rsidRPr="00837C18">
                    <w:rPr>
                      <w:rFonts w:ascii="Times New Roman" w:eastAsia="Times New Roman" w:hAnsi="Times New Roman" w:cs="Times New Roman"/>
                      <w:sz w:val="18"/>
                      <w:szCs w:val="18"/>
                    </w:rPr>
                    <w:t xml:space="preserve"> standard or on a European Technical Assessment issued for the product, rendering the other alternative not applicable. These omissions could also concern the points on the </w:t>
                  </w:r>
                  <w:proofErr w:type="spellStart"/>
                  <w:r w:rsidRPr="00837C18">
                    <w:rPr>
                      <w:rFonts w:ascii="Times New Roman" w:eastAsia="Times New Roman" w:hAnsi="Times New Roman" w:cs="Times New Roman"/>
                      <w:sz w:val="18"/>
                      <w:szCs w:val="18"/>
                    </w:rPr>
                    <w:t>authorised</w:t>
                  </w:r>
                  <w:proofErr w:type="spellEnd"/>
                  <w:r w:rsidRPr="00837C18">
                    <w:rPr>
                      <w:rFonts w:ascii="Times New Roman" w:eastAsia="Times New Roman" w:hAnsi="Times New Roman" w:cs="Times New Roman"/>
                      <w:sz w:val="18"/>
                      <w:szCs w:val="18"/>
                    </w:rPr>
                    <w:t xml:space="preserve"> representative or on the use of Appropriate Technical Documentation and the Specific Technical Documentation;</w:t>
                  </w:r>
                </w:p>
              </w:tc>
            </w:tr>
          </w:tbl>
          <w:p w:rsidR="0033066E" w:rsidRPr="00837C18" w:rsidRDefault="0033066E" w:rsidP="0033066E">
            <w:pPr>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33066E" w:rsidRPr="00202C33" w:rsidTr="00202C33">
              <w:trPr>
                <w:tblCellSpacing w:w="0" w:type="dxa"/>
              </w:trPr>
              <w:tc>
                <w:tcPr>
                  <w:tcW w:w="0" w:type="auto"/>
                  <w:shd w:val="clear" w:color="auto" w:fill="D9D9D9" w:themeFill="background1" w:themeFillShade="D9"/>
                  <w:hideMark/>
                </w:tcPr>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(5)</w:t>
                  </w:r>
                </w:p>
              </w:tc>
              <w:tc>
                <w:tcPr>
                  <w:tcW w:w="0" w:type="auto"/>
                  <w:shd w:val="clear" w:color="auto" w:fill="D9D9D9" w:themeFill="background1" w:themeFillShade="D9"/>
                  <w:hideMark/>
                </w:tcPr>
                <w:p w:rsidR="0033066E" w:rsidRPr="00837C18"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present the points without numbering them.</w:t>
                  </w:r>
                </w:p>
              </w:tc>
            </w:tr>
          </w:tbl>
          <w:p w:rsidR="0033066E" w:rsidRPr="00202C33" w:rsidRDefault="0033066E" w:rsidP="0033066E">
            <w:pPr>
              <w:spacing w:before="120"/>
              <w:jc w:val="both"/>
              <w:rPr>
                <w:rFonts w:ascii="Times New Roman" w:eastAsia="Times New Roman" w:hAnsi="Times New Roman" w:cs="Times New Roman"/>
                <w:sz w:val="18"/>
                <w:szCs w:val="18"/>
              </w:rPr>
            </w:pPr>
            <w:r w:rsidRPr="00837C18">
              <w:rPr>
                <w:rFonts w:ascii="Times New Roman" w:eastAsia="Times New Roman" w:hAnsi="Times New Roman" w:cs="Times New Roman"/>
                <w:sz w:val="18"/>
                <w:szCs w:val="18"/>
              </w:rPr>
              <w:t>If a manufacturer wishes to issue a single declaration of performance covering different variations of a product-type, at least the following elements need to be listed separately and clearly for every product variation: the number of the declaration of performance, the identification code under point 1 and the declared performances/s under point 7.</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33066E">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lang w:val="sr-Cyrl-CS"/>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F86B9E">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2</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w:t>
            </w:r>
            <w:r>
              <w:rPr>
                <w:rFonts w:ascii="Times New Roman" w:hAnsi="Times New Roman" w:cs="Times New Roman"/>
                <w:sz w:val="18"/>
                <w:szCs w:val="18"/>
                <w:lang w:val="ru-RU"/>
              </w:rPr>
              <w:lastRenderedPageBreak/>
              <w:t>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both"/>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1164"/>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hAnsi="Times New Roman" w:cs="Times New Roman"/>
                <w:sz w:val="18"/>
                <w:szCs w:val="18"/>
              </w:rPr>
            </w:pPr>
            <w:r w:rsidRPr="00202C33">
              <w:rPr>
                <w:rFonts w:ascii="Times New Roman" w:hAnsi="Times New Roman" w:cs="Times New Roman"/>
                <w:sz w:val="18"/>
                <w:szCs w:val="18"/>
              </w:rPr>
              <w:lastRenderedPageBreak/>
              <w:t>ANNEX III</w:t>
            </w:r>
          </w:p>
          <w:p w:rsidR="0033066E" w:rsidRPr="00202C33" w:rsidRDefault="0033066E" w:rsidP="0033066E">
            <w:pPr>
              <w:spacing w:before="120"/>
              <w:jc w:val="center"/>
              <w:rPr>
                <w:rFonts w:ascii="Times New Roman" w:eastAsia="Arial Unicode MS" w:hAnsi="Times New Roman" w:cs="Times New Roman"/>
                <w:iCs/>
                <w:sz w:val="18"/>
                <w:szCs w:val="18"/>
                <w:shd w:val="clear" w:color="auto" w:fill="FFFFFF"/>
              </w:rPr>
            </w:pPr>
            <w:r w:rsidRPr="00202C33">
              <w:rPr>
                <w:rFonts w:ascii="Times New Roman" w:eastAsia="Arial Unicode MS" w:hAnsi="Times New Roman" w:cs="Times New Roman"/>
                <w:iCs/>
                <w:sz w:val="18"/>
                <w:szCs w:val="18"/>
                <w:shd w:val="clear" w:color="auto" w:fill="D9D9D9" w:themeFill="background1" w:themeFillShade="D9"/>
              </w:rPr>
              <w:t>3.</w:t>
            </w:r>
          </w:p>
        </w:tc>
        <w:tc>
          <w:tcPr>
            <w:tcW w:w="1229" w:type="pct"/>
            <w:shd w:val="clear" w:color="auto" w:fill="D9D9D9" w:themeFill="background1" w:themeFillShade="D9"/>
            <w:vAlign w:val="center"/>
          </w:tcPr>
          <w:p w:rsidR="0033066E" w:rsidRPr="00202C33" w:rsidRDefault="0033066E" w:rsidP="0033066E">
            <w:pPr>
              <w:spacing w:before="120"/>
              <w:jc w:val="both"/>
              <w:rPr>
                <w:rFonts w:ascii="Times New Roman" w:hAnsi="Times New Roman" w:cs="Times New Roman"/>
                <w:sz w:val="18"/>
                <w:szCs w:val="18"/>
              </w:rPr>
            </w:pPr>
            <w:r w:rsidRPr="00202C33">
              <w:rPr>
                <w:rFonts w:ascii="Times New Roman" w:hAnsi="Times New Roman" w:cs="Times New Roman"/>
                <w:sz w:val="18"/>
                <w:szCs w:val="18"/>
              </w:rPr>
              <w:t>INSTRUCTION FOR THE COMPLETION OF THE FORM</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33066E">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lang w:val="sr-Cyrl-CS"/>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C94301">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lang w:val="sr-Cyrl-CS"/>
              </w:rPr>
              <w:t>3</w:t>
            </w:r>
            <w:r w:rsidRPr="006C6323">
              <w:rPr>
                <w:rFonts w:ascii="Times New Roman" w:hAnsi="Times New Roman" w:cs="Times New Roman"/>
                <w:iCs/>
                <w:sz w:val="18"/>
                <w:szCs w:val="18"/>
                <w:lang w:val="sr-Cyrl-CS"/>
              </w:rPr>
              <w:t>.</w:t>
            </w:r>
            <w:r>
              <w:rPr>
                <w:rFonts w:ascii="Times New Roman" w:hAnsi="Times New Roman" w:cs="Times New Roman"/>
                <w:sz w:val="18"/>
                <w:szCs w:val="18"/>
                <w:lang w:val="ru-RU"/>
              </w:rPr>
              <w:t xml:space="preserve"> 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center"/>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913"/>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i/>
                <w:iCs/>
                <w:sz w:val="18"/>
                <w:szCs w:val="18"/>
                <w:shd w:val="clear" w:color="auto" w:fill="D9D9D9" w:themeFill="background1" w:themeFillShade="D9"/>
              </w:rPr>
              <w:t>Number of</w:t>
            </w:r>
            <w:r w:rsidRPr="00202C33">
              <w:rPr>
                <w:rFonts w:ascii="Times New Roman" w:eastAsia="Arial Unicode MS" w:hAnsi="Times New Roman" w:cs="Times New Roman"/>
                <w:i/>
                <w:iCs/>
                <w:sz w:val="18"/>
                <w:szCs w:val="18"/>
                <w:shd w:val="clear" w:color="auto" w:fill="FFFFFF"/>
              </w:rPr>
              <w:t xml:space="preserve"> </w:t>
            </w:r>
            <w:r w:rsidRPr="00202C33">
              <w:rPr>
                <w:rFonts w:ascii="Times New Roman" w:eastAsia="Arial Unicode MS" w:hAnsi="Times New Roman" w:cs="Times New Roman"/>
                <w:i/>
                <w:iCs/>
                <w:sz w:val="18"/>
                <w:szCs w:val="18"/>
                <w:shd w:val="clear" w:color="auto" w:fill="D9D9D9" w:themeFill="background1" w:themeFillShade="D9"/>
              </w:rPr>
              <w:t>the</w:t>
            </w:r>
            <w:r w:rsidRPr="00202C33">
              <w:rPr>
                <w:rFonts w:ascii="Times New Roman" w:eastAsia="Arial Unicode MS" w:hAnsi="Times New Roman" w:cs="Times New Roman"/>
                <w:i/>
                <w:iCs/>
                <w:sz w:val="18"/>
                <w:szCs w:val="18"/>
                <w:shd w:val="clear" w:color="auto" w:fill="FFFFFF"/>
              </w:rPr>
              <w:t xml:space="preserve"> </w:t>
            </w:r>
            <w:r w:rsidRPr="00202C33">
              <w:rPr>
                <w:rFonts w:ascii="Times New Roman" w:eastAsia="Arial Unicode MS" w:hAnsi="Times New Roman" w:cs="Times New Roman"/>
                <w:i/>
                <w:iCs/>
                <w:sz w:val="18"/>
                <w:szCs w:val="18"/>
                <w:shd w:val="clear" w:color="auto" w:fill="D9D9D9" w:themeFill="background1" w:themeFillShade="D9"/>
              </w:rPr>
              <w:t>declaration</w:t>
            </w:r>
            <w:r w:rsidRPr="00202C33">
              <w:rPr>
                <w:rFonts w:ascii="Times New Roman" w:eastAsia="Arial Unicode MS" w:hAnsi="Times New Roman" w:cs="Times New Roman"/>
                <w:i/>
                <w:iCs/>
                <w:sz w:val="18"/>
                <w:szCs w:val="18"/>
                <w:shd w:val="clear" w:color="auto" w:fill="FFFFFF"/>
              </w:rPr>
              <w:t xml:space="preserve"> </w:t>
            </w:r>
            <w:r w:rsidRPr="00202C33">
              <w:rPr>
                <w:rFonts w:ascii="Times New Roman" w:eastAsia="Arial Unicode MS" w:hAnsi="Times New Roman" w:cs="Times New Roman"/>
                <w:i/>
                <w:iCs/>
                <w:sz w:val="18"/>
                <w:szCs w:val="18"/>
                <w:shd w:val="clear" w:color="auto" w:fill="D9D9D9" w:themeFill="background1" w:themeFillShade="D9"/>
              </w:rPr>
              <w:t>of</w:t>
            </w:r>
            <w:r w:rsidRPr="00202C33">
              <w:rPr>
                <w:rFonts w:ascii="Times New Roman" w:eastAsia="Arial Unicode MS" w:hAnsi="Times New Roman" w:cs="Times New Roman"/>
                <w:i/>
                <w:iCs/>
                <w:sz w:val="18"/>
                <w:szCs w:val="18"/>
                <w:shd w:val="clear" w:color="auto" w:fill="FFFFFF"/>
              </w:rPr>
              <w:t xml:space="preserve"> </w:t>
            </w:r>
            <w:r w:rsidRPr="00202C33">
              <w:rPr>
                <w:rFonts w:ascii="Times New Roman" w:eastAsia="Arial Unicode MS" w:hAnsi="Times New Roman" w:cs="Times New Roman"/>
                <w:i/>
                <w:iCs/>
                <w:sz w:val="18"/>
                <w:szCs w:val="18"/>
                <w:shd w:val="clear" w:color="auto" w:fill="D9D9D9" w:themeFill="background1" w:themeFillShade="D9"/>
              </w:rPr>
              <w:t>performance</w:t>
            </w:r>
          </w:p>
        </w:tc>
        <w:tc>
          <w:tcPr>
            <w:tcW w:w="1229" w:type="pct"/>
            <w:shd w:val="clear" w:color="auto" w:fill="D9D9D9" w:themeFill="background1" w:themeFillShade="D9"/>
            <w:vAlign w:val="center"/>
          </w:tcPr>
          <w:p w:rsidR="0033066E" w:rsidRPr="00202C33" w:rsidRDefault="0033066E" w:rsidP="0033066E">
            <w:pPr>
              <w:pStyle w:val="tbl-txt"/>
              <w:spacing w:before="120" w:beforeAutospacing="0" w:after="0" w:afterAutospacing="0"/>
              <w:rPr>
                <w:sz w:val="18"/>
                <w:szCs w:val="18"/>
              </w:rPr>
            </w:pPr>
            <w:r w:rsidRPr="00202C33">
              <w:rPr>
                <w:sz w:val="18"/>
                <w:szCs w:val="18"/>
              </w:rPr>
              <w:t>This is the reference number of the declaration of performance foreseen in Article 9(2) of Regulation (EU) No 305/2011.</w:t>
            </w:r>
          </w:p>
          <w:p w:rsidR="0033066E" w:rsidRPr="00202C33" w:rsidRDefault="0033066E" w:rsidP="0033066E">
            <w:pPr>
              <w:pStyle w:val="tbl-txt"/>
              <w:spacing w:before="120" w:beforeAutospacing="0" w:after="0" w:afterAutospacing="0"/>
              <w:rPr>
                <w:sz w:val="18"/>
                <w:szCs w:val="18"/>
              </w:rPr>
            </w:pPr>
            <w:r w:rsidRPr="00202C33">
              <w:rPr>
                <w:sz w:val="18"/>
                <w:szCs w:val="18"/>
              </w:rPr>
              <w:t>The choice of the number is left to the manufacturer.</w:t>
            </w:r>
          </w:p>
          <w:p w:rsidR="0033066E" w:rsidRPr="00202C33" w:rsidRDefault="0033066E" w:rsidP="0033066E">
            <w:pPr>
              <w:pStyle w:val="tbl-txt"/>
              <w:spacing w:before="120" w:beforeAutospacing="0" w:after="0" w:afterAutospacing="0"/>
              <w:rPr>
                <w:sz w:val="18"/>
                <w:szCs w:val="18"/>
              </w:rPr>
            </w:pPr>
            <w:r w:rsidRPr="00202C33">
              <w:rPr>
                <w:sz w:val="18"/>
                <w:szCs w:val="18"/>
              </w:rPr>
              <w:t>This number may be the same as the unique identification code of the product-type indicated under point 1 of the model.</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33066E">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производима која се може упоредити са</w:t>
            </w:r>
            <w:r>
              <w:rPr>
                <w:rFonts w:ascii="Times New Roman" w:hAnsi="Times New Roman" w:cs="Times New Roman"/>
                <w:sz w:val="18"/>
                <w:szCs w:val="18"/>
                <w:lang w:val="ru-RU"/>
              </w:rPr>
              <w:t xml:space="preserve"> овом т</w:t>
            </w:r>
            <w:r w:rsidR="00C94301">
              <w:rPr>
                <w:rFonts w:ascii="Times New Roman" w:hAnsi="Times New Roman" w:cs="Times New Roman"/>
                <w:sz w:val="18"/>
                <w:szCs w:val="18"/>
                <w:lang w:val="ru-RU"/>
              </w:rPr>
              <w:t>ачком</w:t>
            </w:r>
            <w:r w:rsidRPr="006C6323">
              <w:rPr>
                <w:rFonts w:ascii="Times New Roman" w:hAnsi="Times New Roman" w:cs="Times New Roman"/>
                <w:sz w:val="18"/>
                <w:szCs w:val="18"/>
                <w:lang w:val="ru-RU"/>
              </w:rPr>
              <w:t xml:space="preserve"> </w:t>
            </w:r>
            <w:r>
              <w:rPr>
                <w:rFonts w:ascii="Times New Roman" w:hAnsi="Times New Roman" w:cs="Times New Roman"/>
                <w:sz w:val="18"/>
                <w:szCs w:val="18"/>
                <w:lang w:val="ru-RU"/>
              </w:rPr>
              <w:t>Анекса III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center"/>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986"/>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t>Point 1</w:t>
            </w:r>
          </w:p>
        </w:tc>
        <w:tc>
          <w:tcPr>
            <w:tcW w:w="1229" w:type="pct"/>
            <w:shd w:val="clear" w:color="auto" w:fill="D9D9D9" w:themeFill="background1" w:themeFillShade="D9"/>
            <w:vAlign w:val="center"/>
          </w:tcPr>
          <w:p w:rsidR="0033066E" w:rsidRPr="00202C33" w:rsidRDefault="0033066E" w:rsidP="0033066E">
            <w:pPr>
              <w:pStyle w:val="tbl-txt"/>
              <w:spacing w:before="120" w:beforeAutospacing="0" w:after="0" w:afterAutospacing="0"/>
              <w:rPr>
                <w:sz w:val="18"/>
                <w:szCs w:val="18"/>
              </w:rPr>
            </w:pPr>
            <w:r w:rsidRPr="00202C33">
              <w:rPr>
                <w:sz w:val="18"/>
                <w:szCs w:val="18"/>
              </w:rPr>
              <w:t>Indicate the unique identification code of the product-type referred to in Article 6(2)(a) of Regulation (EU) No 305/2011.</w:t>
            </w:r>
          </w:p>
          <w:p w:rsidR="0033066E" w:rsidRPr="00202C33" w:rsidRDefault="0033066E" w:rsidP="0033066E">
            <w:pPr>
              <w:pStyle w:val="tbl-txt"/>
              <w:spacing w:before="120" w:beforeAutospacing="0" w:after="0" w:afterAutospacing="0"/>
              <w:rPr>
                <w:sz w:val="18"/>
                <w:szCs w:val="18"/>
              </w:rPr>
            </w:pPr>
            <w:r w:rsidRPr="00202C33">
              <w:rPr>
                <w:sz w:val="18"/>
                <w:szCs w:val="18"/>
              </w:rPr>
              <w:t xml:space="preserve">In Article 9(2) of Regulation (EU) No 305/2011, the unique identification code determined by the manufacturer to follow the CE marking is linked to the product-type and thus to the set of performance levels or classes of a construction product, as brought forward in the declaration of performance drawn up for it. Moreover, for the recipients of </w:t>
            </w:r>
            <w:r w:rsidRPr="00202C33">
              <w:rPr>
                <w:sz w:val="18"/>
                <w:szCs w:val="18"/>
              </w:rPr>
              <w:lastRenderedPageBreak/>
              <w:t>construction products, in particular for their final end users, it is necessary to be able to unequivocally identify this set of performance levels or classes for any given product. Therefore, every construction product, for which a declaration of performance has been drawn up, should be linked by its manufacturer to the respective product-type and a given set of performance levels or classes by the unique identification code, which acts also as the reference mentioned in Article 6(2)(a) of Regulation (EU) No 305/2011.</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33066E">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290022">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rPr>
              <w:t>Point 1</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both"/>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1970"/>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lastRenderedPageBreak/>
              <w:t>Point 2</w:t>
            </w:r>
          </w:p>
        </w:tc>
        <w:tc>
          <w:tcPr>
            <w:tcW w:w="1229" w:type="pct"/>
            <w:shd w:val="clear" w:color="auto" w:fill="D9D9D9" w:themeFill="background1" w:themeFillShade="D9"/>
            <w:vAlign w:val="center"/>
          </w:tcPr>
          <w:p w:rsidR="0033066E" w:rsidRPr="00202C33" w:rsidRDefault="0033066E" w:rsidP="0033066E">
            <w:pPr>
              <w:spacing w:before="120"/>
              <w:jc w:val="both"/>
              <w:rPr>
                <w:rFonts w:ascii="Times New Roman" w:hAnsi="Times New Roman" w:cs="Times New Roman"/>
                <w:sz w:val="18"/>
                <w:szCs w:val="18"/>
              </w:rPr>
            </w:pPr>
            <w:r w:rsidRPr="00202C33">
              <w:rPr>
                <w:rFonts w:ascii="Times New Roman" w:hAnsi="Times New Roman" w:cs="Times New Roman"/>
                <w:sz w:val="18"/>
                <w:szCs w:val="18"/>
                <w:shd w:val="clear" w:color="auto" w:fill="D9D9D9" w:themeFill="background1" w:themeFillShade="D9"/>
              </w:rPr>
              <w:t xml:space="preserve">Indicate the intended use, or list the intended uses, as appropriate, of the construction product as foreseen by the manufacturer, in accordance with the applicable </w:t>
            </w:r>
            <w:proofErr w:type="spellStart"/>
            <w:r w:rsidRPr="00202C33">
              <w:rPr>
                <w:rFonts w:ascii="Times New Roman" w:hAnsi="Times New Roman" w:cs="Times New Roman"/>
                <w:sz w:val="18"/>
                <w:szCs w:val="18"/>
                <w:shd w:val="clear" w:color="auto" w:fill="D9D9D9" w:themeFill="background1" w:themeFillShade="D9"/>
              </w:rPr>
              <w:t>harmonised</w:t>
            </w:r>
            <w:proofErr w:type="spellEnd"/>
            <w:r w:rsidRPr="00202C33">
              <w:rPr>
                <w:rFonts w:ascii="Times New Roman" w:hAnsi="Times New Roman" w:cs="Times New Roman"/>
                <w:sz w:val="18"/>
                <w:szCs w:val="18"/>
                <w:shd w:val="clear" w:color="auto" w:fill="D9D9D9" w:themeFill="background1" w:themeFillShade="D9"/>
              </w:rPr>
              <w:t xml:space="preserve"> technical specification.</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4E50BC">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pStyle w:val="Style31"/>
              <w:spacing w:before="120" w:line="240" w:lineRule="auto"/>
              <w:ind w:left="126" w:right="104" w:firstLine="0"/>
              <w:jc w:val="both"/>
              <w:rPr>
                <w:rFonts w:ascii="Times New Roman" w:hAnsi="Times New Roman"/>
                <w:sz w:val="18"/>
                <w:szCs w:val="18"/>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E3210A">
              <w:rPr>
                <w:rFonts w:ascii="Times New Roman" w:hAnsi="Times New Roman" w:cs="Times New Roman"/>
                <w:sz w:val="18"/>
                <w:szCs w:val="18"/>
                <w:lang w:val="ru-RU"/>
              </w:rPr>
              <w:t>ма</w:t>
            </w:r>
            <w:r w:rsidR="00416C27">
              <w:rPr>
                <w:rFonts w:ascii="Times New Roman" w:hAnsi="Times New Roman" w:cs="Times New Roman"/>
                <w:sz w:val="18"/>
                <w:szCs w:val="18"/>
                <w:lang w:val="ru-RU"/>
              </w:rPr>
              <w:t xml:space="preserve">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rPr>
              <w:t>Point 2</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both"/>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1970"/>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t>Point 3</w:t>
            </w:r>
          </w:p>
        </w:tc>
        <w:tc>
          <w:tcPr>
            <w:tcW w:w="1229" w:type="pct"/>
            <w:shd w:val="clear" w:color="auto" w:fill="D9D9D9" w:themeFill="background1" w:themeFillShade="D9"/>
            <w:vAlign w:val="center"/>
          </w:tcPr>
          <w:p w:rsidR="0033066E" w:rsidRPr="00202C33" w:rsidRDefault="0033066E" w:rsidP="0033066E">
            <w:pPr>
              <w:spacing w:before="120"/>
              <w:jc w:val="both"/>
              <w:rPr>
                <w:rFonts w:ascii="Times New Roman" w:hAnsi="Times New Roman" w:cs="Times New Roman"/>
                <w:sz w:val="18"/>
                <w:szCs w:val="18"/>
              </w:rPr>
            </w:pPr>
            <w:r w:rsidRPr="00202C33">
              <w:rPr>
                <w:rFonts w:ascii="Times New Roman" w:hAnsi="Times New Roman" w:cs="Times New Roman"/>
                <w:sz w:val="18"/>
                <w:szCs w:val="18"/>
                <w:shd w:val="clear" w:color="auto" w:fill="D9D9D9" w:themeFill="background1" w:themeFillShade="D9"/>
              </w:rPr>
              <w:t>Indicate the name, the registered trade name or registered trade mark and the contact address of the manufacturer, as required pursuant to Article 11(5) of Regulation (EU) No 305/2011.</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33066E">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416C27">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rPr>
              <w:t>Point 3</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center"/>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rPr>
            </w:pPr>
          </w:p>
        </w:tc>
      </w:tr>
      <w:tr w:rsidR="0033066E" w:rsidRPr="00202C33" w:rsidTr="00285E9C">
        <w:trPr>
          <w:trHeight w:val="1970"/>
          <w:jc w:val="center"/>
        </w:trPr>
        <w:tc>
          <w:tcPr>
            <w:tcW w:w="439" w:type="pct"/>
            <w:shd w:val="clear" w:color="auto" w:fill="D9D9D9" w:themeFill="background1" w:themeFillShade="D9"/>
            <w:vAlign w:val="center"/>
          </w:tcPr>
          <w:p w:rsidR="0033066E" w:rsidRPr="00202C33" w:rsidRDefault="0033066E" w:rsidP="0033066E">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lastRenderedPageBreak/>
              <w:t>Point 4</w:t>
            </w:r>
          </w:p>
        </w:tc>
        <w:tc>
          <w:tcPr>
            <w:tcW w:w="1229" w:type="pct"/>
            <w:shd w:val="clear" w:color="auto" w:fill="D9D9D9" w:themeFill="background1" w:themeFillShade="D9"/>
            <w:vAlign w:val="center"/>
          </w:tcPr>
          <w:p w:rsidR="0033066E" w:rsidRPr="00202C33" w:rsidRDefault="0033066E" w:rsidP="0033066E">
            <w:pPr>
              <w:spacing w:before="120"/>
              <w:jc w:val="both"/>
              <w:rPr>
                <w:rFonts w:ascii="Times New Roman" w:hAnsi="Times New Roman" w:cs="Times New Roman"/>
                <w:sz w:val="18"/>
                <w:szCs w:val="18"/>
              </w:rPr>
            </w:pPr>
            <w:r w:rsidRPr="00202C33">
              <w:rPr>
                <w:rFonts w:ascii="Times New Roman" w:hAnsi="Times New Roman" w:cs="Times New Roman"/>
                <w:sz w:val="18"/>
                <w:szCs w:val="18"/>
                <w:shd w:val="clear" w:color="auto" w:fill="D9D9D9" w:themeFill="background1" w:themeFillShade="D9"/>
              </w:rPr>
              <w:t xml:space="preserve">This point shall be included and filled in only in case an </w:t>
            </w:r>
            <w:proofErr w:type="spellStart"/>
            <w:r w:rsidRPr="00202C33">
              <w:rPr>
                <w:rFonts w:ascii="Times New Roman" w:hAnsi="Times New Roman" w:cs="Times New Roman"/>
                <w:sz w:val="18"/>
                <w:szCs w:val="18"/>
                <w:shd w:val="clear" w:color="auto" w:fill="D9D9D9" w:themeFill="background1" w:themeFillShade="D9"/>
              </w:rPr>
              <w:t>authorised</w:t>
            </w:r>
            <w:proofErr w:type="spellEnd"/>
            <w:r w:rsidRPr="00202C33">
              <w:rPr>
                <w:rFonts w:ascii="Times New Roman" w:hAnsi="Times New Roman" w:cs="Times New Roman"/>
                <w:sz w:val="18"/>
                <w:szCs w:val="18"/>
                <w:shd w:val="clear" w:color="auto" w:fill="D9D9D9" w:themeFill="background1" w:themeFillShade="D9"/>
              </w:rPr>
              <w:t xml:space="preserve"> representative has been designated. In such case, indicate the name and the contact address of the </w:t>
            </w:r>
            <w:proofErr w:type="spellStart"/>
            <w:r w:rsidRPr="00202C33">
              <w:rPr>
                <w:rFonts w:ascii="Times New Roman" w:hAnsi="Times New Roman" w:cs="Times New Roman"/>
                <w:sz w:val="18"/>
                <w:szCs w:val="18"/>
                <w:shd w:val="clear" w:color="auto" w:fill="D9D9D9" w:themeFill="background1" w:themeFillShade="D9"/>
              </w:rPr>
              <w:t>authorised</w:t>
            </w:r>
            <w:proofErr w:type="spellEnd"/>
            <w:r w:rsidRPr="00202C33">
              <w:rPr>
                <w:rFonts w:ascii="Times New Roman" w:hAnsi="Times New Roman" w:cs="Times New Roman"/>
                <w:sz w:val="18"/>
                <w:szCs w:val="18"/>
                <w:shd w:val="clear" w:color="auto" w:fill="D9D9D9" w:themeFill="background1" w:themeFillShade="D9"/>
              </w:rPr>
              <w:t xml:space="preserve"> representative whose mandate covers the tasks specified in Article 12(2) of Regulation (EU) No 305/2011.</w:t>
            </w:r>
          </w:p>
        </w:tc>
        <w:tc>
          <w:tcPr>
            <w:tcW w:w="397" w:type="pct"/>
            <w:shd w:val="clear" w:color="auto" w:fill="auto"/>
          </w:tcPr>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4E50BC" w:rsidRDefault="004E50BC" w:rsidP="0033066E">
            <w:pPr>
              <w:spacing w:before="120"/>
              <w:jc w:val="center"/>
              <w:rPr>
                <w:rFonts w:ascii="Times New Roman" w:hAnsi="Times New Roman" w:cs="Times New Roman"/>
                <w:sz w:val="18"/>
                <w:szCs w:val="18"/>
              </w:rPr>
            </w:pPr>
          </w:p>
          <w:p w:rsidR="0033066E" w:rsidRDefault="0033066E" w:rsidP="0033066E">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33066E" w:rsidRPr="00202C33" w:rsidRDefault="0033066E" w:rsidP="0033066E">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33066E" w:rsidRPr="00202C33" w:rsidRDefault="00235718" w:rsidP="0033066E">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EF60C5">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rPr>
              <w:t>Point 4</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33066E" w:rsidRPr="00202C33" w:rsidRDefault="0033066E" w:rsidP="0033066E">
            <w:pPr>
              <w:spacing w:before="120"/>
              <w:ind w:firstLine="21"/>
              <w:jc w:val="center"/>
              <w:rPr>
                <w:rFonts w:ascii="Times New Roman" w:hAnsi="Times New Roman" w:cs="Times New Roman"/>
                <w:sz w:val="18"/>
                <w:szCs w:val="18"/>
                <w:lang w:val="ru-RU"/>
              </w:rPr>
            </w:pPr>
          </w:p>
        </w:tc>
        <w:tc>
          <w:tcPr>
            <w:tcW w:w="511" w:type="pct"/>
            <w:shd w:val="clear" w:color="auto" w:fill="auto"/>
            <w:vAlign w:val="center"/>
          </w:tcPr>
          <w:p w:rsidR="0033066E" w:rsidRPr="00202C33" w:rsidRDefault="0033066E" w:rsidP="0033066E">
            <w:pPr>
              <w:spacing w:before="120"/>
              <w:jc w:val="center"/>
              <w:rPr>
                <w:rFonts w:ascii="Times New Roman" w:hAnsi="Times New Roman" w:cs="Times New Roman"/>
                <w:sz w:val="18"/>
                <w:szCs w:val="18"/>
              </w:rPr>
            </w:pPr>
          </w:p>
        </w:tc>
      </w:tr>
      <w:tr w:rsidR="00235718" w:rsidRPr="00202C33" w:rsidTr="00285E9C">
        <w:trPr>
          <w:trHeight w:val="1970"/>
          <w:jc w:val="center"/>
        </w:trPr>
        <w:tc>
          <w:tcPr>
            <w:tcW w:w="439" w:type="pct"/>
            <w:shd w:val="clear" w:color="auto" w:fill="D9D9D9" w:themeFill="background1" w:themeFillShade="D9"/>
            <w:vAlign w:val="center"/>
          </w:tcPr>
          <w:p w:rsidR="00235718" w:rsidRPr="00202C33" w:rsidRDefault="00235718" w:rsidP="00235718">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t>Point 5</w:t>
            </w:r>
          </w:p>
        </w:tc>
        <w:tc>
          <w:tcPr>
            <w:tcW w:w="1229" w:type="pct"/>
            <w:shd w:val="clear" w:color="auto" w:fill="D9D9D9" w:themeFill="background1" w:themeFillShade="D9"/>
            <w:vAlign w:val="center"/>
          </w:tcPr>
          <w:p w:rsidR="00235718" w:rsidRPr="00202C33" w:rsidRDefault="00235718" w:rsidP="00235718">
            <w:pPr>
              <w:spacing w:before="120"/>
              <w:jc w:val="both"/>
              <w:rPr>
                <w:rFonts w:ascii="Times New Roman" w:hAnsi="Times New Roman" w:cs="Times New Roman"/>
                <w:sz w:val="18"/>
                <w:szCs w:val="18"/>
              </w:rPr>
            </w:pPr>
            <w:r w:rsidRPr="00202C33">
              <w:rPr>
                <w:rFonts w:ascii="Times New Roman" w:hAnsi="Times New Roman" w:cs="Times New Roman"/>
                <w:sz w:val="18"/>
                <w:szCs w:val="18"/>
                <w:shd w:val="clear" w:color="auto" w:fill="D9D9D9" w:themeFill="background1" w:themeFillShade="D9"/>
              </w:rPr>
              <w:t>Indicate the number of the applicable system or systems of assessment and verification of constancy of performance (AVCP) of the construction product as set out in Annex V to Regulation (EU) No 305/2011. If there are multiple systems, each of them shall be declared.</w:t>
            </w:r>
          </w:p>
        </w:tc>
        <w:tc>
          <w:tcPr>
            <w:tcW w:w="397" w:type="pct"/>
            <w:shd w:val="clear" w:color="auto" w:fill="auto"/>
          </w:tcPr>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235718" w:rsidRDefault="00235718" w:rsidP="00235718">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235718" w:rsidRPr="00202C33" w:rsidRDefault="00235718" w:rsidP="00235718">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C673A1">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rPr>
              <w:t>Point 5</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235718" w:rsidRPr="00202C33" w:rsidRDefault="00235718" w:rsidP="00235718">
            <w:pPr>
              <w:spacing w:before="120"/>
              <w:ind w:firstLine="21"/>
              <w:jc w:val="center"/>
              <w:rPr>
                <w:rFonts w:ascii="Times New Roman" w:hAnsi="Times New Roman" w:cs="Times New Roman"/>
                <w:sz w:val="18"/>
                <w:szCs w:val="18"/>
                <w:lang w:val="ru-RU"/>
              </w:rPr>
            </w:pPr>
          </w:p>
        </w:tc>
        <w:tc>
          <w:tcPr>
            <w:tcW w:w="511"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p>
        </w:tc>
      </w:tr>
      <w:tr w:rsidR="00235718" w:rsidRPr="00202C33" w:rsidTr="00285E9C">
        <w:trPr>
          <w:trHeight w:val="487"/>
          <w:jc w:val="center"/>
        </w:trPr>
        <w:tc>
          <w:tcPr>
            <w:tcW w:w="439" w:type="pct"/>
            <w:shd w:val="clear" w:color="auto" w:fill="D9D9D9" w:themeFill="background1" w:themeFillShade="D9"/>
            <w:vAlign w:val="center"/>
          </w:tcPr>
          <w:p w:rsidR="00235718" w:rsidRPr="00202C33" w:rsidRDefault="00235718" w:rsidP="00235718">
            <w:pPr>
              <w:spacing w:before="120"/>
              <w:jc w:val="center"/>
              <w:rPr>
                <w:rFonts w:ascii="Times New Roman" w:eastAsia="Arial Unicode MS" w:hAnsi="Times New Roman" w:cs="Times New Roman"/>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t>Points 6a</w:t>
            </w:r>
            <w:r w:rsidRPr="00202C33">
              <w:rPr>
                <w:rFonts w:ascii="Times New Roman" w:eastAsia="Arial Unicode MS" w:hAnsi="Times New Roman" w:cs="Times New Roman"/>
                <w:sz w:val="18"/>
                <w:szCs w:val="18"/>
                <w:shd w:val="clear" w:color="auto" w:fill="FFFFFF"/>
              </w:rPr>
              <w:t xml:space="preserve"> </w:t>
            </w:r>
            <w:r w:rsidRPr="00202C33">
              <w:rPr>
                <w:rFonts w:ascii="Times New Roman" w:eastAsia="Arial Unicode MS" w:hAnsi="Times New Roman" w:cs="Times New Roman"/>
                <w:sz w:val="18"/>
                <w:szCs w:val="18"/>
                <w:shd w:val="clear" w:color="auto" w:fill="D9D9D9" w:themeFill="background1" w:themeFillShade="D9"/>
              </w:rPr>
              <w:t>and</w:t>
            </w:r>
            <w:r w:rsidRPr="00202C33">
              <w:rPr>
                <w:rFonts w:ascii="Times New Roman" w:eastAsia="Arial Unicode MS" w:hAnsi="Times New Roman" w:cs="Times New Roman"/>
                <w:sz w:val="18"/>
                <w:szCs w:val="18"/>
                <w:shd w:val="clear" w:color="auto" w:fill="FFFFFF"/>
              </w:rPr>
              <w:t xml:space="preserve"> </w:t>
            </w:r>
          </w:p>
          <w:p w:rsidR="00235718" w:rsidRPr="00202C33" w:rsidRDefault="00235718" w:rsidP="00235718">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lastRenderedPageBreak/>
              <w:t xml:space="preserve">Points </w:t>
            </w:r>
            <w:r w:rsidRPr="00202C33">
              <w:rPr>
                <w:rFonts w:ascii="Times New Roman" w:eastAsia="Arial Unicode MS" w:hAnsi="Times New Roman" w:cs="Times New Roman"/>
                <w:b/>
                <w:sz w:val="18"/>
                <w:szCs w:val="18"/>
                <w:shd w:val="clear" w:color="auto" w:fill="D9D9D9" w:themeFill="background1" w:themeFillShade="D9"/>
              </w:rPr>
              <w:t>6b</w:t>
            </w:r>
          </w:p>
        </w:tc>
        <w:tc>
          <w:tcPr>
            <w:tcW w:w="1229" w:type="pct"/>
            <w:shd w:val="clear" w:color="auto" w:fill="D9D9D9" w:themeFill="background1" w:themeFillShade="D9"/>
            <w:vAlign w:val="center"/>
          </w:tcPr>
          <w:p w:rsidR="00235718" w:rsidRPr="00D45377" w:rsidRDefault="00235718" w:rsidP="00235718">
            <w:pPr>
              <w:spacing w:before="120"/>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lastRenderedPageBreak/>
              <w:t xml:space="preserve">Since a manufacturer can draw up a declaration of performance based on either a </w:t>
            </w:r>
            <w:proofErr w:type="spellStart"/>
            <w:r w:rsidRPr="00D45377">
              <w:rPr>
                <w:rFonts w:ascii="Times New Roman" w:eastAsia="Times New Roman" w:hAnsi="Times New Roman" w:cs="Times New Roman"/>
                <w:sz w:val="18"/>
                <w:szCs w:val="18"/>
              </w:rPr>
              <w:t>harmonised</w:t>
            </w:r>
            <w:proofErr w:type="spellEnd"/>
            <w:r w:rsidRPr="00D45377">
              <w:rPr>
                <w:rFonts w:ascii="Times New Roman" w:eastAsia="Times New Roman" w:hAnsi="Times New Roman" w:cs="Times New Roman"/>
                <w:sz w:val="18"/>
                <w:szCs w:val="18"/>
              </w:rPr>
              <w:t xml:space="preserve"> standard or a </w:t>
            </w:r>
            <w:r w:rsidRPr="00D45377">
              <w:rPr>
                <w:rFonts w:ascii="Times New Roman" w:eastAsia="Times New Roman" w:hAnsi="Times New Roman" w:cs="Times New Roman"/>
                <w:sz w:val="18"/>
                <w:szCs w:val="18"/>
              </w:rPr>
              <w:lastRenderedPageBreak/>
              <w:t>European Technical Assessment issued for the product, these two different situations presented under points 6a and 6b should be treated as alternative, with only one of them to be applied and filled in in a declaration of performance.</w:t>
            </w:r>
          </w:p>
          <w:p w:rsidR="00235718" w:rsidRPr="00D45377" w:rsidRDefault="00235718" w:rsidP="00235718">
            <w:pPr>
              <w:spacing w:before="120"/>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 xml:space="preserve">In case of point 6a, i.e. when a declaration of performance is based on a </w:t>
            </w:r>
            <w:proofErr w:type="spellStart"/>
            <w:r w:rsidRPr="00D45377">
              <w:rPr>
                <w:rFonts w:ascii="Times New Roman" w:eastAsia="Times New Roman" w:hAnsi="Times New Roman" w:cs="Times New Roman"/>
                <w:sz w:val="18"/>
                <w:szCs w:val="18"/>
              </w:rPr>
              <w:t>harmonised</w:t>
            </w:r>
            <w:proofErr w:type="spellEnd"/>
            <w:r w:rsidRPr="00D45377">
              <w:rPr>
                <w:rFonts w:ascii="Times New Roman" w:eastAsia="Times New Roman" w:hAnsi="Times New Roman" w:cs="Times New Roman"/>
                <w:sz w:val="18"/>
                <w:szCs w:val="18"/>
              </w:rPr>
              <w:t xml:space="preserve"> standard, indicate all the following:</w:t>
            </w: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00"/>
              <w:gridCol w:w="2823"/>
            </w:tblGrid>
            <w:tr w:rsidR="00235718" w:rsidRPr="00202C33" w:rsidTr="00202C33">
              <w:trPr>
                <w:tblCellSpacing w:w="0" w:type="dxa"/>
              </w:trPr>
              <w:tc>
                <w:tcPr>
                  <w:tcW w:w="0" w:type="auto"/>
                  <w:shd w:val="clear" w:color="auto" w:fill="D9D9D9" w:themeFill="background1" w:themeFillShade="D9"/>
                  <w:hideMark/>
                </w:tcPr>
                <w:p w:rsidR="00235718" w:rsidRPr="00D45377" w:rsidRDefault="00235718" w:rsidP="00235718">
                  <w:pPr>
                    <w:shd w:val="clear" w:color="auto" w:fill="D9D9D9" w:themeFill="background1" w:themeFillShade="D9"/>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(a)</w:t>
                  </w:r>
                </w:p>
              </w:tc>
              <w:tc>
                <w:tcPr>
                  <w:tcW w:w="0" w:type="auto"/>
                  <w:shd w:val="clear" w:color="auto" w:fill="D9D9D9" w:themeFill="background1" w:themeFillShade="D9"/>
                  <w:hideMark/>
                </w:tcPr>
                <w:p w:rsidR="00235718" w:rsidRPr="00D45377" w:rsidRDefault="00235718" w:rsidP="00235718">
                  <w:pPr>
                    <w:shd w:val="clear" w:color="auto" w:fill="D9D9D9" w:themeFill="background1" w:themeFillShade="D9"/>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 xml:space="preserve">the reference number of the </w:t>
                  </w:r>
                  <w:proofErr w:type="spellStart"/>
                  <w:r w:rsidRPr="00D45377">
                    <w:rPr>
                      <w:rFonts w:ascii="Times New Roman" w:eastAsia="Times New Roman" w:hAnsi="Times New Roman" w:cs="Times New Roman"/>
                      <w:sz w:val="18"/>
                      <w:szCs w:val="18"/>
                    </w:rPr>
                    <w:t>harmonised</w:t>
                  </w:r>
                  <w:proofErr w:type="spellEnd"/>
                  <w:r w:rsidRPr="00D45377">
                    <w:rPr>
                      <w:rFonts w:ascii="Times New Roman" w:eastAsia="Times New Roman" w:hAnsi="Times New Roman" w:cs="Times New Roman"/>
                      <w:sz w:val="18"/>
                      <w:szCs w:val="18"/>
                    </w:rPr>
                    <w:t xml:space="preserve"> standard and its date of issue (dated reference); and</w:t>
                  </w:r>
                </w:p>
              </w:tc>
            </w:tr>
          </w:tbl>
          <w:p w:rsidR="00235718" w:rsidRPr="00D45377" w:rsidRDefault="00235718" w:rsidP="00235718">
            <w:pPr>
              <w:shd w:val="clear" w:color="auto" w:fill="D9D9D9" w:themeFill="background1" w:themeFillShade="D9"/>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235718" w:rsidRPr="00202C33" w:rsidTr="00202C33">
              <w:trPr>
                <w:tblCellSpacing w:w="0" w:type="dxa"/>
              </w:trPr>
              <w:tc>
                <w:tcPr>
                  <w:tcW w:w="0" w:type="auto"/>
                  <w:shd w:val="clear" w:color="auto" w:fill="D9D9D9" w:themeFill="background1" w:themeFillShade="D9"/>
                  <w:hideMark/>
                </w:tcPr>
                <w:p w:rsidR="00235718" w:rsidRPr="00D45377" w:rsidRDefault="00235718" w:rsidP="00235718">
                  <w:pPr>
                    <w:shd w:val="clear" w:color="auto" w:fill="D9D9D9" w:themeFill="background1" w:themeFillShade="D9"/>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(b)</w:t>
                  </w:r>
                </w:p>
              </w:tc>
              <w:tc>
                <w:tcPr>
                  <w:tcW w:w="0" w:type="auto"/>
                  <w:shd w:val="clear" w:color="auto" w:fill="D9D9D9" w:themeFill="background1" w:themeFillShade="D9"/>
                  <w:hideMark/>
                </w:tcPr>
                <w:p w:rsidR="00235718" w:rsidRPr="00D45377" w:rsidRDefault="00235718" w:rsidP="00235718">
                  <w:pPr>
                    <w:shd w:val="clear" w:color="auto" w:fill="D9D9D9" w:themeFill="background1" w:themeFillShade="D9"/>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the identification number of the notified body/</w:t>
                  </w:r>
                  <w:proofErr w:type="spellStart"/>
                  <w:r w:rsidRPr="00D45377">
                    <w:rPr>
                      <w:rFonts w:ascii="Times New Roman" w:eastAsia="Times New Roman" w:hAnsi="Times New Roman" w:cs="Times New Roman"/>
                      <w:sz w:val="18"/>
                      <w:szCs w:val="18"/>
                    </w:rPr>
                    <w:t>ies</w:t>
                  </w:r>
                  <w:proofErr w:type="spellEnd"/>
                  <w:r w:rsidRPr="00D45377">
                    <w:rPr>
                      <w:rFonts w:ascii="Times New Roman" w:eastAsia="Times New Roman" w:hAnsi="Times New Roman" w:cs="Times New Roman"/>
                      <w:sz w:val="18"/>
                      <w:szCs w:val="18"/>
                    </w:rPr>
                    <w:t>.</w:t>
                  </w:r>
                </w:p>
                <w:p w:rsidR="00235718" w:rsidRPr="00D45377" w:rsidRDefault="00235718" w:rsidP="00235718">
                  <w:pPr>
                    <w:shd w:val="clear" w:color="auto" w:fill="D9D9D9" w:themeFill="background1" w:themeFillShade="D9"/>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When providing the name of the notified body/</w:t>
                  </w:r>
                  <w:proofErr w:type="spellStart"/>
                  <w:r w:rsidRPr="00D45377">
                    <w:rPr>
                      <w:rFonts w:ascii="Times New Roman" w:eastAsia="Times New Roman" w:hAnsi="Times New Roman" w:cs="Times New Roman"/>
                      <w:sz w:val="18"/>
                      <w:szCs w:val="18"/>
                    </w:rPr>
                    <w:t>ies</w:t>
                  </w:r>
                  <w:proofErr w:type="spellEnd"/>
                  <w:r w:rsidRPr="00D45377">
                    <w:rPr>
                      <w:rFonts w:ascii="Times New Roman" w:eastAsia="Times New Roman" w:hAnsi="Times New Roman" w:cs="Times New Roman"/>
                      <w:sz w:val="18"/>
                      <w:szCs w:val="18"/>
                    </w:rPr>
                    <w:t>, it is essential that the name is provided in its original language, without translation to other languages.</w:t>
                  </w:r>
                </w:p>
              </w:tc>
            </w:tr>
          </w:tbl>
          <w:p w:rsidR="00235718" w:rsidRPr="00D45377" w:rsidRDefault="00235718" w:rsidP="00235718">
            <w:pPr>
              <w:spacing w:before="120"/>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In case of point 6b, i.e. when a declaration of performance is based on a European Technical Assessment issued for the product, indicate all the following:</w:t>
            </w: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00"/>
              <w:gridCol w:w="2823"/>
            </w:tblGrid>
            <w:tr w:rsidR="00235718" w:rsidRPr="00202C33" w:rsidTr="00202C33">
              <w:trPr>
                <w:tblCellSpacing w:w="0" w:type="dxa"/>
              </w:trPr>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(a)</w:t>
                  </w:r>
                </w:p>
              </w:tc>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the number of the European Assessment Document and its date of issue;</w:t>
                  </w:r>
                </w:p>
              </w:tc>
            </w:tr>
          </w:tbl>
          <w:p w:rsidR="00235718" w:rsidRPr="00D45377" w:rsidRDefault="00235718" w:rsidP="00235718">
            <w:pPr>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235718" w:rsidRPr="00202C33" w:rsidTr="00202C33">
              <w:trPr>
                <w:tblCellSpacing w:w="0" w:type="dxa"/>
              </w:trPr>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(b)</w:t>
                  </w:r>
                </w:p>
              </w:tc>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the number of the European Technical Assessment and its date of issue;</w:t>
                  </w:r>
                </w:p>
              </w:tc>
            </w:tr>
          </w:tbl>
          <w:p w:rsidR="00235718" w:rsidRPr="00D45377" w:rsidRDefault="00235718" w:rsidP="00235718">
            <w:pPr>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00"/>
              <w:gridCol w:w="2823"/>
            </w:tblGrid>
            <w:tr w:rsidR="00235718" w:rsidRPr="00202C33" w:rsidTr="00202C33">
              <w:trPr>
                <w:tblCellSpacing w:w="0" w:type="dxa"/>
              </w:trPr>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(c)</w:t>
                  </w:r>
                </w:p>
              </w:tc>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the name of the Technical Assessment Body; and</w:t>
                  </w:r>
                </w:p>
              </w:tc>
            </w:tr>
          </w:tbl>
          <w:p w:rsidR="00235718" w:rsidRPr="00D45377" w:rsidRDefault="00235718" w:rsidP="00235718">
            <w:pPr>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235718" w:rsidRPr="00202C33" w:rsidTr="00202C33">
              <w:trPr>
                <w:tblCellSpacing w:w="0" w:type="dxa"/>
              </w:trPr>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(d)</w:t>
                  </w:r>
                </w:p>
              </w:tc>
              <w:tc>
                <w:tcPr>
                  <w:tcW w:w="0" w:type="auto"/>
                  <w:shd w:val="clear" w:color="auto" w:fill="D9D9D9" w:themeFill="background1" w:themeFillShade="D9"/>
                  <w:hideMark/>
                </w:tcPr>
                <w:p w:rsidR="00235718" w:rsidRPr="00D45377" w:rsidRDefault="00235718" w:rsidP="00235718">
                  <w:pPr>
                    <w:spacing w:before="120"/>
                    <w:jc w:val="both"/>
                    <w:rPr>
                      <w:rFonts w:ascii="Times New Roman" w:eastAsia="Times New Roman" w:hAnsi="Times New Roman" w:cs="Times New Roman"/>
                      <w:sz w:val="18"/>
                      <w:szCs w:val="18"/>
                    </w:rPr>
                  </w:pPr>
                  <w:r w:rsidRPr="00D45377">
                    <w:rPr>
                      <w:rFonts w:ascii="Times New Roman" w:eastAsia="Times New Roman" w:hAnsi="Times New Roman" w:cs="Times New Roman"/>
                      <w:sz w:val="18"/>
                      <w:szCs w:val="18"/>
                    </w:rPr>
                    <w:t>the identification number of the notified body/</w:t>
                  </w:r>
                  <w:proofErr w:type="spellStart"/>
                  <w:r w:rsidRPr="00D45377">
                    <w:rPr>
                      <w:rFonts w:ascii="Times New Roman" w:eastAsia="Times New Roman" w:hAnsi="Times New Roman" w:cs="Times New Roman"/>
                      <w:sz w:val="18"/>
                      <w:szCs w:val="18"/>
                    </w:rPr>
                    <w:t>ies</w:t>
                  </w:r>
                  <w:proofErr w:type="spellEnd"/>
                  <w:r w:rsidRPr="00D45377">
                    <w:rPr>
                      <w:rFonts w:ascii="Times New Roman" w:eastAsia="Times New Roman" w:hAnsi="Times New Roman" w:cs="Times New Roman"/>
                      <w:sz w:val="18"/>
                      <w:szCs w:val="18"/>
                    </w:rPr>
                    <w:t>.</w:t>
                  </w:r>
                </w:p>
              </w:tc>
            </w:tr>
          </w:tbl>
          <w:p w:rsidR="00235718" w:rsidRPr="00202C33" w:rsidRDefault="00235718" w:rsidP="00235718">
            <w:pPr>
              <w:spacing w:before="120"/>
              <w:jc w:val="both"/>
              <w:rPr>
                <w:rFonts w:ascii="Times New Roman" w:hAnsi="Times New Roman" w:cs="Times New Roman"/>
                <w:sz w:val="18"/>
                <w:szCs w:val="18"/>
              </w:rPr>
            </w:pPr>
          </w:p>
        </w:tc>
        <w:tc>
          <w:tcPr>
            <w:tcW w:w="397" w:type="pct"/>
            <w:shd w:val="clear" w:color="auto" w:fill="auto"/>
          </w:tcPr>
          <w:p w:rsidR="004E50BC" w:rsidRDefault="004E50BC" w:rsidP="00235718">
            <w:pPr>
              <w:spacing w:before="120"/>
              <w:jc w:val="center"/>
              <w:rPr>
                <w:rFonts w:ascii="Times New Roman" w:hAnsi="Times New Roman" w:cs="Times New Roman"/>
                <w:sz w:val="18"/>
                <w:szCs w:val="18"/>
              </w:rPr>
            </w:pPr>
          </w:p>
          <w:p w:rsidR="00235718" w:rsidRDefault="00235718" w:rsidP="00235718">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235718" w:rsidRPr="00202C33" w:rsidRDefault="00235718" w:rsidP="00235718">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w:t>
            </w:r>
            <w:r w:rsidRPr="00BF3B38">
              <w:rPr>
                <w:rFonts w:ascii="Times New Roman" w:hAnsi="Times New Roman"/>
                <w:sz w:val="18"/>
                <w:szCs w:val="18"/>
                <w:lang w:val="ru-RU"/>
              </w:rPr>
              <w:lastRenderedPageBreak/>
              <w:t>о перформансама.</w:t>
            </w:r>
          </w:p>
        </w:tc>
        <w:tc>
          <w:tcPr>
            <w:tcW w:w="463"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r>
              <w:rPr>
                <w:rFonts w:ascii="Times New Roman" w:hAnsi="Times New Roman" w:cs="Times New Roman"/>
                <w:sz w:val="18"/>
                <w:szCs w:val="18"/>
                <w:lang w:val="sr-Cyrl-CS"/>
              </w:rPr>
              <w:lastRenderedPageBreak/>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 xml:space="preserve">закона о грађевинским </w:t>
            </w:r>
            <w:r w:rsidRPr="006C6323">
              <w:rPr>
                <w:rFonts w:ascii="Times New Roman" w:hAnsi="Times New Roman" w:cs="Times New Roman"/>
                <w:sz w:val="18"/>
                <w:szCs w:val="18"/>
                <w:lang w:val="ru-RU"/>
              </w:rPr>
              <w:lastRenderedPageBreak/>
              <w:t>производи</w:t>
            </w:r>
            <w:r w:rsidR="00247C80">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rPr>
              <w:t>Point 6a and 6b</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235718" w:rsidRPr="00202C33" w:rsidRDefault="00235718" w:rsidP="00235718">
            <w:pPr>
              <w:spacing w:before="120"/>
              <w:ind w:firstLine="21"/>
              <w:jc w:val="both"/>
              <w:rPr>
                <w:rFonts w:ascii="Times New Roman" w:hAnsi="Times New Roman" w:cs="Times New Roman"/>
                <w:sz w:val="18"/>
                <w:szCs w:val="18"/>
                <w:lang w:val="ru-RU"/>
              </w:rPr>
            </w:pPr>
          </w:p>
        </w:tc>
        <w:tc>
          <w:tcPr>
            <w:tcW w:w="511"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p>
        </w:tc>
      </w:tr>
      <w:tr w:rsidR="00235718" w:rsidRPr="00202C33" w:rsidTr="00285E9C">
        <w:trPr>
          <w:trHeight w:val="1970"/>
          <w:jc w:val="center"/>
        </w:trPr>
        <w:tc>
          <w:tcPr>
            <w:tcW w:w="439" w:type="pct"/>
            <w:shd w:val="clear" w:color="auto" w:fill="D9D9D9" w:themeFill="background1" w:themeFillShade="D9"/>
            <w:vAlign w:val="center"/>
          </w:tcPr>
          <w:p w:rsidR="00235718" w:rsidRPr="00202C33" w:rsidRDefault="00235718" w:rsidP="00235718">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sz w:val="18"/>
                <w:szCs w:val="18"/>
                <w:shd w:val="clear" w:color="auto" w:fill="D9D9D9" w:themeFill="background1" w:themeFillShade="D9"/>
              </w:rPr>
              <w:lastRenderedPageBreak/>
              <w:t>Point 7</w:t>
            </w:r>
          </w:p>
        </w:tc>
        <w:tc>
          <w:tcPr>
            <w:tcW w:w="1229" w:type="pct"/>
            <w:shd w:val="clear" w:color="auto" w:fill="D9D9D9" w:themeFill="background1" w:themeFillShade="D9"/>
            <w:vAlign w:val="center"/>
          </w:tcPr>
          <w:p w:rsidR="00235718" w:rsidRPr="00596640" w:rsidRDefault="00235718" w:rsidP="00235718">
            <w:pPr>
              <w:spacing w:before="120"/>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Under this point, the declaration of performance shall indicate:</w:t>
            </w: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00"/>
              <w:gridCol w:w="2823"/>
            </w:tblGrid>
            <w:tr w:rsidR="00235718" w:rsidRPr="00202C33" w:rsidTr="00202C33">
              <w:trPr>
                <w:tblCellSpacing w:w="0" w:type="dxa"/>
              </w:trPr>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(a)</w:t>
                  </w:r>
                </w:p>
              </w:tc>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 xml:space="preserve">the list of essential characteristics, as determined in the </w:t>
                  </w:r>
                  <w:proofErr w:type="spellStart"/>
                  <w:r w:rsidRPr="00596640">
                    <w:rPr>
                      <w:rFonts w:ascii="Times New Roman" w:eastAsia="Times New Roman" w:hAnsi="Times New Roman" w:cs="Times New Roman"/>
                      <w:sz w:val="18"/>
                      <w:szCs w:val="18"/>
                    </w:rPr>
                    <w:t>harmonised</w:t>
                  </w:r>
                  <w:proofErr w:type="spellEnd"/>
                  <w:r w:rsidRPr="00596640">
                    <w:rPr>
                      <w:rFonts w:ascii="Times New Roman" w:eastAsia="Times New Roman" w:hAnsi="Times New Roman" w:cs="Times New Roman"/>
                      <w:sz w:val="18"/>
                      <w:szCs w:val="18"/>
                    </w:rPr>
                    <w:t xml:space="preserve"> technical specifications for the intended use or uses indicated under point 2; and</w:t>
                  </w:r>
                </w:p>
              </w:tc>
            </w:tr>
          </w:tbl>
          <w:p w:rsidR="00235718" w:rsidRPr="00596640" w:rsidRDefault="00235718" w:rsidP="00235718">
            <w:pPr>
              <w:spacing w:before="120"/>
              <w:rPr>
                <w:rFonts w:ascii="Times New Roman" w:eastAsia="Times New Roman" w:hAnsi="Times New Roman" w:cs="Times New Roman"/>
                <w:vanish/>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0"/>
              <w:gridCol w:w="2813"/>
            </w:tblGrid>
            <w:tr w:rsidR="00235718" w:rsidRPr="00202C33" w:rsidTr="00202C33">
              <w:trPr>
                <w:tblCellSpacing w:w="0" w:type="dxa"/>
              </w:trPr>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(b)</w:t>
                  </w:r>
                </w:p>
              </w:tc>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for each essential characteristic, the declared performance, by level or class, or in a description, in relation to this characteristic or, for characteristics for which no performance is declared, the letters “NPD” (No Performance Determined).</w:t>
                  </w:r>
                </w:p>
              </w:tc>
            </w:tr>
          </w:tbl>
          <w:p w:rsidR="00235718" w:rsidRPr="00596640" w:rsidRDefault="00235718" w:rsidP="00235718">
            <w:pPr>
              <w:spacing w:before="120"/>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 xml:space="preserve">This point may be filled up with the use of a table which brings forward the links between the </w:t>
            </w:r>
            <w:proofErr w:type="spellStart"/>
            <w:r w:rsidRPr="00596640">
              <w:rPr>
                <w:rFonts w:ascii="Times New Roman" w:eastAsia="Times New Roman" w:hAnsi="Times New Roman" w:cs="Times New Roman"/>
                <w:sz w:val="18"/>
                <w:szCs w:val="18"/>
              </w:rPr>
              <w:t>harmonised</w:t>
            </w:r>
            <w:proofErr w:type="spellEnd"/>
            <w:r w:rsidRPr="00596640">
              <w:rPr>
                <w:rFonts w:ascii="Times New Roman" w:eastAsia="Times New Roman" w:hAnsi="Times New Roman" w:cs="Times New Roman"/>
                <w:sz w:val="18"/>
                <w:szCs w:val="18"/>
              </w:rPr>
              <w:t xml:space="preserve"> technical specifications and the systems of assessment and verification of constancy of performance applied respectively to each essential characteristic of the product, as well as the performance in relation to each essential characteristic.</w:t>
            </w:r>
          </w:p>
          <w:p w:rsidR="00235718" w:rsidRPr="00596640" w:rsidRDefault="00235718" w:rsidP="00235718">
            <w:pPr>
              <w:spacing w:before="120"/>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The performance shall be declared in a clear and explicit manner. Therefore, the performance cannot be described in the declaration of performance solely by inserting a calculation formula to be applied by the recipients. Furthermore, the levels or classes of performance presented in reference documents shall be reproduced in the declaration of performance itself and thus cannot be expressed solely by inserting references to these documents into the declaration of performance.</w:t>
            </w:r>
          </w:p>
          <w:p w:rsidR="00235718" w:rsidRPr="00202C33" w:rsidRDefault="00235718" w:rsidP="00235718">
            <w:pPr>
              <w:spacing w:before="120"/>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 xml:space="preserve">However, the performance notably of </w:t>
            </w:r>
            <w:r w:rsidRPr="00596640">
              <w:rPr>
                <w:rFonts w:ascii="Times New Roman" w:eastAsia="Times New Roman" w:hAnsi="Times New Roman" w:cs="Times New Roman"/>
                <w:sz w:val="18"/>
                <w:szCs w:val="18"/>
              </w:rPr>
              <w:lastRenderedPageBreak/>
              <w:t xml:space="preserve">structural </w:t>
            </w:r>
            <w:proofErr w:type="spellStart"/>
            <w:r w:rsidRPr="00596640">
              <w:rPr>
                <w:rFonts w:ascii="Times New Roman" w:eastAsia="Times New Roman" w:hAnsi="Times New Roman" w:cs="Times New Roman"/>
                <w:sz w:val="18"/>
                <w:szCs w:val="18"/>
              </w:rPr>
              <w:t>behaviour</w:t>
            </w:r>
            <w:proofErr w:type="spellEnd"/>
            <w:r w:rsidRPr="00596640">
              <w:rPr>
                <w:rFonts w:ascii="Times New Roman" w:eastAsia="Times New Roman" w:hAnsi="Times New Roman" w:cs="Times New Roman"/>
                <w:sz w:val="18"/>
                <w:szCs w:val="18"/>
              </w:rPr>
              <w:t xml:space="preserve"> of a construction product may be expressed by referring to the respective production documentation or structural design calculations. In this case, the relevant documents shall be attached to the declaration of performance.</w:t>
            </w:r>
          </w:p>
        </w:tc>
        <w:tc>
          <w:tcPr>
            <w:tcW w:w="397" w:type="pct"/>
            <w:shd w:val="clear" w:color="auto" w:fill="auto"/>
          </w:tcPr>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235718" w:rsidRDefault="00235718" w:rsidP="00235718">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235718" w:rsidRPr="00202C33" w:rsidRDefault="00235718" w:rsidP="00235718">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6D14A4">
              <w:rPr>
                <w:rFonts w:ascii="Times New Roman" w:hAnsi="Times New Roman" w:cs="Times New Roman"/>
                <w:sz w:val="18"/>
                <w:szCs w:val="18"/>
                <w:lang w:val="ru-RU"/>
              </w:rPr>
              <w:t>ма која се може упоредити са Тачком</w:t>
            </w:r>
            <w:r w:rsidRPr="006C6323">
              <w:rPr>
                <w:rFonts w:ascii="Times New Roman" w:hAnsi="Times New Roman" w:cs="Times New Roman"/>
                <w:sz w:val="18"/>
                <w:szCs w:val="18"/>
                <w:lang w:val="ru-RU"/>
              </w:rPr>
              <w:t xml:space="preserve"> </w:t>
            </w:r>
            <w:r>
              <w:rPr>
                <w:rFonts w:ascii="Times New Roman" w:hAnsi="Times New Roman" w:cs="Times New Roman"/>
                <w:iCs/>
                <w:sz w:val="18"/>
                <w:szCs w:val="18"/>
              </w:rPr>
              <w:t>Point 7</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235718" w:rsidRPr="00202C33" w:rsidRDefault="00235718" w:rsidP="00235718">
            <w:pPr>
              <w:spacing w:before="120"/>
              <w:ind w:firstLine="21"/>
              <w:jc w:val="both"/>
              <w:rPr>
                <w:rFonts w:ascii="Times New Roman" w:hAnsi="Times New Roman" w:cs="Times New Roman"/>
                <w:sz w:val="18"/>
                <w:szCs w:val="18"/>
                <w:lang w:val="ru-RU"/>
              </w:rPr>
            </w:pPr>
          </w:p>
        </w:tc>
        <w:tc>
          <w:tcPr>
            <w:tcW w:w="511"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p>
        </w:tc>
      </w:tr>
      <w:tr w:rsidR="00235718" w:rsidRPr="00202C33" w:rsidTr="00285E9C">
        <w:trPr>
          <w:trHeight w:val="1411"/>
          <w:jc w:val="center"/>
        </w:trPr>
        <w:tc>
          <w:tcPr>
            <w:tcW w:w="439" w:type="pct"/>
            <w:shd w:val="clear" w:color="auto" w:fill="D9D9D9" w:themeFill="background1" w:themeFillShade="D9"/>
            <w:vAlign w:val="center"/>
          </w:tcPr>
          <w:p w:rsidR="00235718" w:rsidRPr="00202C33" w:rsidRDefault="00235718" w:rsidP="00235718">
            <w:pPr>
              <w:spacing w:before="120"/>
              <w:jc w:val="center"/>
              <w:rPr>
                <w:rFonts w:ascii="Times New Roman" w:eastAsia="Arial Unicode MS" w:hAnsi="Times New Roman" w:cs="Times New Roman"/>
                <w:sz w:val="18"/>
                <w:szCs w:val="18"/>
                <w:shd w:val="clear" w:color="auto" w:fill="D9D9D9" w:themeFill="background1" w:themeFillShade="D9"/>
              </w:rPr>
            </w:pPr>
            <w:r w:rsidRPr="00202C33">
              <w:rPr>
                <w:rFonts w:ascii="Times New Roman" w:eastAsia="Arial Unicode MS" w:hAnsi="Times New Roman" w:cs="Times New Roman"/>
                <w:sz w:val="18"/>
                <w:szCs w:val="18"/>
                <w:shd w:val="clear" w:color="auto" w:fill="D9D9D9" w:themeFill="background1" w:themeFillShade="D9"/>
              </w:rPr>
              <w:lastRenderedPageBreak/>
              <w:t>Point 8</w:t>
            </w:r>
          </w:p>
        </w:tc>
        <w:tc>
          <w:tcPr>
            <w:tcW w:w="1229" w:type="pct"/>
            <w:shd w:val="clear" w:color="auto" w:fill="D9D9D9" w:themeFill="background1" w:themeFillShade="D9"/>
            <w:vAlign w:val="center"/>
          </w:tcPr>
          <w:p w:rsidR="00235718" w:rsidRPr="00596640" w:rsidRDefault="00235718" w:rsidP="00235718">
            <w:pPr>
              <w:spacing w:before="120"/>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This point shall only be included and filled in in a declaration of performance if Appropriate Technical Documentation and/or Specific Technical Documentation has been used, in accordance with Articles 36 to 38 of Regulation (EU) No 305/2011, in order to indicate the requirements with which the product complies.</w:t>
            </w:r>
          </w:p>
          <w:p w:rsidR="00235718" w:rsidRPr="00596640" w:rsidRDefault="00235718" w:rsidP="00235718">
            <w:pPr>
              <w:spacing w:before="120"/>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In such a case, under this point the declaration of performance shall indicate:</w:t>
            </w: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00"/>
              <w:gridCol w:w="2823"/>
            </w:tblGrid>
            <w:tr w:rsidR="00235718" w:rsidRPr="00202C33" w:rsidTr="00202C33">
              <w:trPr>
                <w:tblCellSpacing w:w="0" w:type="dxa"/>
              </w:trPr>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(a)</w:t>
                  </w:r>
                </w:p>
              </w:tc>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the reference number of the Specific and/or Appropriate Technical Documentation used, and</w:t>
                  </w:r>
                </w:p>
              </w:tc>
            </w:tr>
          </w:tbl>
          <w:p w:rsidR="00235718" w:rsidRPr="00596640" w:rsidRDefault="00235718" w:rsidP="00235718">
            <w:pPr>
              <w:spacing w:before="120"/>
              <w:rPr>
                <w:rFonts w:ascii="Times New Roman" w:eastAsia="Times New Roman" w:hAnsi="Times New Roman" w:cs="Times New Roman"/>
                <w:vanish/>
                <w:sz w:val="18"/>
                <w:szCs w:val="18"/>
              </w:rPr>
            </w:pPr>
          </w:p>
          <w:tbl>
            <w:tblPr>
              <w:tblW w:w="5000" w:type="pct"/>
              <w:tblCellSpacing w:w="0" w:type="dxa"/>
              <w:shd w:val="clear" w:color="auto" w:fill="D9D9D9" w:themeFill="background1" w:themeFillShade="D9"/>
              <w:tblCellMar>
                <w:left w:w="0" w:type="dxa"/>
                <w:right w:w="0" w:type="dxa"/>
              </w:tblCellMar>
              <w:tblLook w:val="04A0" w:firstRow="1" w:lastRow="0" w:firstColumn="1" w:lastColumn="0" w:noHBand="0" w:noVBand="1"/>
            </w:tblPr>
            <w:tblGrid>
              <w:gridCol w:w="210"/>
              <w:gridCol w:w="2813"/>
            </w:tblGrid>
            <w:tr w:rsidR="00235718" w:rsidRPr="00202C33" w:rsidTr="00202C33">
              <w:trPr>
                <w:tblCellSpacing w:w="0" w:type="dxa"/>
              </w:trPr>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(b)</w:t>
                  </w:r>
                </w:p>
              </w:tc>
              <w:tc>
                <w:tcPr>
                  <w:tcW w:w="0" w:type="auto"/>
                  <w:shd w:val="clear" w:color="auto" w:fill="D9D9D9" w:themeFill="background1" w:themeFillShade="D9"/>
                  <w:hideMark/>
                </w:tcPr>
                <w:p w:rsidR="00235718" w:rsidRPr="00596640" w:rsidRDefault="00235718" w:rsidP="00235718">
                  <w:pPr>
                    <w:spacing w:before="120"/>
                    <w:jc w:val="both"/>
                    <w:rPr>
                      <w:rFonts w:ascii="Times New Roman" w:eastAsia="Times New Roman" w:hAnsi="Times New Roman" w:cs="Times New Roman"/>
                      <w:sz w:val="18"/>
                      <w:szCs w:val="18"/>
                    </w:rPr>
                  </w:pPr>
                  <w:r w:rsidRPr="00596640">
                    <w:rPr>
                      <w:rFonts w:ascii="Times New Roman" w:eastAsia="Times New Roman" w:hAnsi="Times New Roman" w:cs="Times New Roman"/>
                      <w:sz w:val="18"/>
                      <w:szCs w:val="18"/>
                    </w:rPr>
                    <w:t>the requirements with which the product complies.</w:t>
                  </w:r>
                </w:p>
              </w:tc>
            </w:tr>
          </w:tbl>
          <w:p w:rsidR="00235718" w:rsidRPr="00202C33" w:rsidRDefault="00235718" w:rsidP="00235718">
            <w:pPr>
              <w:spacing w:before="120"/>
              <w:rPr>
                <w:rFonts w:ascii="Times New Roman" w:eastAsia="Times New Roman" w:hAnsi="Times New Roman" w:cs="Times New Roman"/>
                <w:sz w:val="18"/>
                <w:szCs w:val="18"/>
              </w:rPr>
            </w:pPr>
          </w:p>
        </w:tc>
        <w:tc>
          <w:tcPr>
            <w:tcW w:w="397" w:type="pct"/>
            <w:shd w:val="clear" w:color="auto" w:fill="auto"/>
          </w:tcPr>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4E50BC" w:rsidRDefault="004E50BC" w:rsidP="00235718">
            <w:pPr>
              <w:spacing w:before="120"/>
              <w:jc w:val="center"/>
              <w:rPr>
                <w:rFonts w:ascii="Times New Roman" w:hAnsi="Times New Roman" w:cs="Times New Roman"/>
                <w:sz w:val="18"/>
                <w:szCs w:val="18"/>
              </w:rPr>
            </w:pPr>
          </w:p>
          <w:p w:rsidR="00235718" w:rsidRDefault="00235718" w:rsidP="00235718">
            <w:pPr>
              <w:spacing w:before="120"/>
              <w:jc w:val="center"/>
            </w:pPr>
            <w:r w:rsidRPr="00410AE6">
              <w:rPr>
                <w:rFonts w:ascii="Times New Roman" w:hAnsi="Times New Roman" w:cs="Times New Roman"/>
                <w:sz w:val="18"/>
                <w:szCs w:val="18"/>
              </w:rPr>
              <w:t>8.3.</w:t>
            </w:r>
          </w:p>
        </w:tc>
        <w:tc>
          <w:tcPr>
            <w:tcW w:w="1232" w:type="pct"/>
            <w:shd w:val="clear" w:color="auto" w:fill="auto"/>
            <w:vAlign w:val="center"/>
          </w:tcPr>
          <w:p w:rsidR="00235718" w:rsidRPr="00202C33" w:rsidRDefault="00235718" w:rsidP="00235718">
            <w:pPr>
              <w:spacing w:before="120"/>
              <w:jc w:val="both"/>
              <w:rPr>
                <w:rFonts w:ascii="Times New Roman" w:hAnsi="Times New Roman" w:cs="Times New Roman"/>
                <w:sz w:val="18"/>
                <w:szCs w:val="18"/>
                <w:lang w:val="sr-Cyrl-CS"/>
              </w:rPr>
            </w:pPr>
            <w:r w:rsidRPr="00BF3B38">
              <w:rPr>
                <w:rFonts w:ascii="Times New Roman" w:hAnsi="Times New Roman"/>
                <w:sz w:val="18"/>
                <w:szCs w:val="18"/>
                <w:lang w:val="ru-RU"/>
              </w:rPr>
              <w:t>Министарств</w:t>
            </w:r>
            <w:r>
              <w:rPr>
                <w:sz w:val="18"/>
                <w:szCs w:val="18"/>
              </w:rPr>
              <w:t>o</w:t>
            </w:r>
            <w:r w:rsidRPr="00BF3B38">
              <w:rPr>
                <w:rFonts w:ascii="Times New Roman" w:hAnsi="Times New Roman"/>
                <w:sz w:val="18"/>
                <w:szCs w:val="18"/>
                <w:lang w:val="ru-RU"/>
              </w:rPr>
              <w:t xml:space="preserve"> надлежно за послове грађевинарства ближе прописује </w:t>
            </w:r>
            <w:r w:rsidR="00663A2C">
              <w:rPr>
                <w:rFonts w:ascii="Times New Roman" w:hAnsi="Times New Roman"/>
                <w:sz w:val="18"/>
                <w:szCs w:val="18"/>
                <w:lang w:val="ru-RU"/>
              </w:rPr>
              <w:t>садржину</w:t>
            </w:r>
            <w:r w:rsidRPr="00BF3B38">
              <w:rPr>
                <w:rFonts w:ascii="Times New Roman" w:hAnsi="Times New Roman"/>
                <w:sz w:val="18"/>
                <w:szCs w:val="18"/>
                <w:lang w:val="ru-RU"/>
              </w:rPr>
              <w:t xml:space="preserve"> и начин израде декларације о перформансама.</w:t>
            </w:r>
          </w:p>
        </w:tc>
        <w:tc>
          <w:tcPr>
            <w:tcW w:w="463"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r>
              <w:rPr>
                <w:rFonts w:ascii="Times New Roman" w:hAnsi="Times New Roman" w:cs="Times New Roman"/>
                <w:sz w:val="18"/>
                <w:szCs w:val="18"/>
                <w:lang w:val="sr-Cyrl-CS"/>
              </w:rPr>
              <w:t>НУ</w:t>
            </w:r>
          </w:p>
        </w:tc>
        <w:tc>
          <w:tcPr>
            <w:tcW w:w="729" w:type="pct"/>
            <w:gridSpan w:val="2"/>
            <w:shd w:val="clear" w:color="auto" w:fill="auto"/>
            <w:vAlign w:val="center"/>
          </w:tcPr>
          <w:p w:rsidR="00AF57BD" w:rsidRPr="006C6323" w:rsidRDefault="00AF57BD" w:rsidP="00AF57BD">
            <w:pPr>
              <w:spacing w:before="120" w:after="120"/>
              <w:ind w:firstLine="21"/>
              <w:jc w:val="both"/>
              <w:rPr>
                <w:rFonts w:ascii="Times New Roman" w:hAnsi="Times New Roman" w:cs="Times New Roman"/>
                <w:sz w:val="18"/>
                <w:szCs w:val="18"/>
                <w:lang w:val="ru-RU"/>
              </w:rPr>
            </w:pPr>
            <w:r w:rsidRPr="006C6323">
              <w:rPr>
                <w:rFonts w:ascii="Times New Roman" w:hAnsi="Times New Roman" w:cs="Times New Roman"/>
                <w:sz w:val="18"/>
                <w:szCs w:val="18"/>
                <w:lang w:val="ru-RU"/>
              </w:rPr>
              <w:t xml:space="preserve">Не постоји одредба </w:t>
            </w:r>
            <w:r w:rsidR="00AB1DEE">
              <w:rPr>
                <w:rFonts w:ascii="Times New Roman" w:hAnsi="Times New Roman" w:cs="Times New Roman"/>
                <w:sz w:val="18"/>
                <w:szCs w:val="18"/>
                <w:lang w:val="ru-RU"/>
              </w:rPr>
              <w:t xml:space="preserve">Предлога </w:t>
            </w:r>
            <w:r w:rsidRPr="006C6323">
              <w:rPr>
                <w:rFonts w:ascii="Times New Roman" w:hAnsi="Times New Roman" w:cs="Times New Roman"/>
                <w:sz w:val="18"/>
                <w:szCs w:val="18"/>
                <w:lang w:val="ru-RU"/>
              </w:rPr>
              <w:t>закона о грађевинским производи</w:t>
            </w:r>
            <w:r w:rsidR="00065839">
              <w:rPr>
                <w:rFonts w:ascii="Times New Roman" w:hAnsi="Times New Roman" w:cs="Times New Roman"/>
                <w:sz w:val="18"/>
                <w:szCs w:val="18"/>
                <w:lang w:val="ru-RU"/>
              </w:rPr>
              <w:t>ма која се може упоредити са Т</w:t>
            </w:r>
            <w:r w:rsidR="003A4B90">
              <w:rPr>
                <w:rFonts w:ascii="Times New Roman" w:hAnsi="Times New Roman" w:cs="Times New Roman"/>
                <w:sz w:val="18"/>
                <w:szCs w:val="18"/>
                <w:lang w:val="ru-RU"/>
              </w:rPr>
              <w:t xml:space="preserve">ачком </w:t>
            </w:r>
            <w:r>
              <w:rPr>
                <w:rFonts w:ascii="Times New Roman" w:hAnsi="Times New Roman" w:cs="Times New Roman"/>
                <w:iCs/>
                <w:sz w:val="18"/>
                <w:szCs w:val="18"/>
              </w:rPr>
              <w:t>Point 8</w:t>
            </w:r>
            <w:r>
              <w:rPr>
                <w:rFonts w:ascii="Times New Roman" w:hAnsi="Times New Roman" w:cs="Times New Roman"/>
                <w:sz w:val="18"/>
                <w:szCs w:val="18"/>
                <w:lang w:val="ru-RU"/>
              </w:rPr>
              <w:t xml:space="preserve"> Уредбе 305/2011 (ЕУ)</w:t>
            </w:r>
            <w:r w:rsidRPr="006C6323">
              <w:rPr>
                <w:rFonts w:ascii="Times New Roman" w:hAnsi="Times New Roman" w:cs="Times New Roman"/>
                <w:sz w:val="18"/>
                <w:szCs w:val="18"/>
                <w:lang w:val="ru-RU"/>
              </w:rPr>
              <w:t>.</w:t>
            </w:r>
            <w:r>
              <w:rPr>
                <w:rFonts w:ascii="Times New Roman" w:hAnsi="Times New Roman" w:cs="Times New Roman"/>
                <w:sz w:val="18"/>
                <w:szCs w:val="18"/>
                <w:lang w:val="ru-RU"/>
              </w:rPr>
              <w:t xml:space="preserve"> Одредба ће бити пренета подзаконским актом предвиђеним овим законом.</w:t>
            </w:r>
            <w:r w:rsidRPr="006C6323">
              <w:rPr>
                <w:rFonts w:ascii="Times New Roman" w:hAnsi="Times New Roman" w:cs="Times New Roman"/>
                <w:sz w:val="18"/>
                <w:szCs w:val="18"/>
                <w:lang w:val="ru-RU"/>
              </w:rPr>
              <w:t xml:space="preserve"> </w:t>
            </w:r>
          </w:p>
          <w:p w:rsidR="00235718" w:rsidRPr="00202C33" w:rsidRDefault="00235718" w:rsidP="00235718">
            <w:pPr>
              <w:spacing w:before="120"/>
              <w:ind w:firstLine="21"/>
              <w:jc w:val="both"/>
              <w:rPr>
                <w:rFonts w:ascii="Times New Roman" w:hAnsi="Times New Roman" w:cs="Times New Roman"/>
                <w:sz w:val="18"/>
                <w:szCs w:val="18"/>
                <w:lang w:val="ru-RU"/>
              </w:rPr>
            </w:pPr>
          </w:p>
        </w:tc>
        <w:tc>
          <w:tcPr>
            <w:tcW w:w="511" w:type="pct"/>
            <w:shd w:val="clear" w:color="auto" w:fill="auto"/>
            <w:vAlign w:val="center"/>
          </w:tcPr>
          <w:p w:rsidR="00235718" w:rsidRPr="00202C33" w:rsidRDefault="00235718" w:rsidP="00235718">
            <w:pPr>
              <w:spacing w:before="120"/>
              <w:jc w:val="center"/>
              <w:rPr>
                <w:rFonts w:ascii="Times New Roman" w:hAnsi="Times New Roman" w:cs="Times New Roman"/>
                <w:sz w:val="18"/>
                <w:szCs w:val="18"/>
              </w:rPr>
            </w:pPr>
          </w:p>
        </w:tc>
      </w:tr>
      <w:tr w:rsidR="00202C33" w:rsidRPr="00202C33" w:rsidTr="00202C33">
        <w:trPr>
          <w:trHeight w:val="1262"/>
          <w:jc w:val="center"/>
        </w:trPr>
        <w:tc>
          <w:tcPr>
            <w:tcW w:w="439" w:type="pct"/>
            <w:shd w:val="clear" w:color="auto" w:fill="D9D9D9" w:themeFill="background1" w:themeFillShade="D9"/>
            <w:vAlign w:val="center"/>
          </w:tcPr>
          <w:p w:rsidR="00837C18" w:rsidRPr="00202C33" w:rsidRDefault="00837C18" w:rsidP="00202C33">
            <w:pPr>
              <w:spacing w:before="120"/>
              <w:jc w:val="center"/>
              <w:rPr>
                <w:rFonts w:ascii="Times New Roman" w:eastAsia="Arial Unicode MS" w:hAnsi="Times New Roman" w:cs="Times New Roman"/>
                <w:i/>
                <w:iCs/>
                <w:sz w:val="18"/>
                <w:szCs w:val="18"/>
                <w:shd w:val="clear" w:color="auto" w:fill="FFFFFF"/>
              </w:rPr>
            </w:pPr>
            <w:r w:rsidRPr="00202C33">
              <w:rPr>
                <w:rFonts w:ascii="Times New Roman" w:eastAsia="Arial Unicode MS" w:hAnsi="Times New Roman" w:cs="Times New Roman"/>
                <w:i/>
                <w:iCs/>
                <w:sz w:val="18"/>
                <w:szCs w:val="18"/>
                <w:shd w:val="clear" w:color="auto" w:fill="D9D9D9" w:themeFill="background1" w:themeFillShade="D9"/>
              </w:rPr>
              <w:t>Signature</w:t>
            </w:r>
          </w:p>
        </w:tc>
        <w:tc>
          <w:tcPr>
            <w:tcW w:w="1229" w:type="pct"/>
            <w:shd w:val="clear" w:color="auto" w:fill="D9D9D9" w:themeFill="background1" w:themeFillShade="D9"/>
            <w:vAlign w:val="center"/>
          </w:tcPr>
          <w:p w:rsidR="00837C18" w:rsidRPr="00202C33" w:rsidRDefault="00837C18" w:rsidP="00202C33">
            <w:pPr>
              <w:spacing w:before="120"/>
              <w:jc w:val="both"/>
              <w:rPr>
                <w:rFonts w:ascii="Times New Roman" w:hAnsi="Times New Roman" w:cs="Times New Roman"/>
                <w:sz w:val="18"/>
                <w:szCs w:val="18"/>
              </w:rPr>
            </w:pPr>
            <w:r w:rsidRPr="00202C33">
              <w:rPr>
                <w:rFonts w:ascii="Times New Roman" w:hAnsi="Times New Roman" w:cs="Times New Roman"/>
                <w:sz w:val="18"/>
                <w:szCs w:val="18"/>
              </w:rPr>
              <w:t>Replace the spaces indicated between square brackets by the information indicated and the signature.</w:t>
            </w:r>
          </w:p>
        </w:tc>
        <w:tc>
          <w:tcPr>
            <w:tcW w:w="397" w:type="pct"/>
            <w:shd w:val="clear" w:color="auto" w:fill="auto"/>
            <w:vAlign w:val="center"/>
          </w:tcPr>
          <w:p w:rsidR="00837C18" w:rsidRPr="00202C33" w:rsidRDefault="00837C18" w:rsidP="00202C33">
            <w:pPr>
              <w:spacing w:before="120"/>
              <w:jc w:val="center"/>
              <w:rPr>
                <w:rFonts w:ascii="Times New Roman" w:hAnsi="Times New Roman" w:cs="Times New Roman"/>
                <w:sz w:val="18"/>
                <w:szCs w:val="18"/>
                <w:lang w:val="ru-RU"/>
              </w:rPr>
            </w:pPr>
          </w:p>
        </w:tc>
        <w:tc>
          <w:tcPr>
            <w:tcW w:w="1232" w:type="pct"/>
            <w:shd w:val="clear" w:color="auto" w:fill="auto"/>
            <w:vAlign w:val="center"/>
          </w:tcPr>
          <w:p w:rsidR="00837C18" w:rsidRPr="00202C33" w:rsidRDefault="00837C18" w:rsidP="00202C33">
            <w:pPr>
              <w:spacing w:before="120"/>
              <w:jc w:val="both"/>
              <w:rPr>
                <w:rFonts w:ascii="Times New Roman" w:hAnsi="Times New Roman" w:cs="Times New Roman"/>
                <w:sz w:val="18"/>
                <w:szCs w:val="18"/>
                <w:lang w:val="sr-Cyrl-CS"/>
              </w:rPr>
            </w:pPr>
          </w:p>
        </w:tc>
        <w:tc>
          <w:tcPr>
            <w:tcW w:w="463" w:type="pct"/>
            <w:shd w:val="clear" w:color="auto" w:fill="auto"/>
            <w:vAlign w:val="center"/>
          </w:tcPr>
          <w:p w:rsidR="00837C18" w:rsidRPr="00202C33" w:rsidRDefault="00837C18" w:rsidP="00202C33">
            <w:pPr>
              <w:spacing w:before="120"/>
              <w:jc w:val="center"/>
              <w:rPr>
                <w:rFonts w:ascii="Times New Roman" w:hAnsi="Times New Roman" w:cs="Times New Roman"/>
                <w:sz w:val="18"/>
                <w:szCs w:val="18"/>
              </w:rPr>
            </w:pPr>
          </w:p>
        </w:tc>
        <w:tc>
          <w:tcPr>
            <w:tcW w:w="729" w:type="pct"/>
            <w:gridSpan w:val="2"/>
            <w:shd w:val="clear" w:color="auto" w:fill="auto"/>
            <w:vAlign w:val="center"/>
          </w:tcPr>
          <w:p w:rsidR="00837C18" w:rsidRPr="00202C33" w:rsidRDefault="00837C18" w:rsidP="00202C33">
            <w:pPr>
              <w:spacing w:before="120"/>
              <w:ind w:firstLine="21"/>
              <w:jc w:val="center"/>
              <w:rPr>
                <w:rFonts w:ascii="Times New Roman" w:hAnsi="Times New Roman" w:cs="Times New Roman"/>
                <w:sz w:val="18"/>
                <w:szCs w:val="18"/>
                <w:lang w:val="ru-RU"/>
              </w:rPr>
            </w:pPr>
          </w:p>
        </w:tc>
        <w:tc>
          <w:tcPr>
            <w:tcW w:w="511" w:type="pct"/>
            <w:shd w:val="clear" w:color="auto" w:fill="auto"/>
            <w:vAlign w:val="center"/>
          </w:tcPr>
          <w:p w:rsidR="00837C18" w:rsidRPr="00202C33" w:rsidRDefault="00837C18" w:rsidP="00202C33">
            <w:pPr>
              <w:spacing w:before="120"/>
              <w:jc w:val="center"/>
              <w:rPr>
                <w:rFonts w:ascii="Times New Roman" w:hAnsi="Times New Roman" w:cs="Times New Roman"/>
                <w:sz w:val="18"/>
                <w:szCs w:val="18"/>
              </w:rPr>
            </w:pPr>
          </w:p>
        </w:tc>
      </w:tr>
    </w:tbl>
    <w:p w:rsidR="0069681D" w:rsidRPr="00202C33" w:rsidRDefault="0069681D" w:rsidP="00202C33">
      <w:pPr>
        <w:pStyle w:val="FootnoteText"/>
        <w:spacing w:before="120"/>
        <w:ind w:firstLine="680"/>
        <w:rPr>
          <w:rFonts w:ascii="Times New Roman" w:hAnsi="Times New Roman" w:cs="Times New Roman"/>
          <w:sz w:val="18"/>
          <w:szCs w:val="18"/>
          <w:lang w:val="sr-Cyrl-CS"/>
        </w:rPr>
      </w:pPr>
    </w:p>
    <w:sectPr w:rsidR="0069681D" w:rsidRPr="00202C33" w:rsidSect="00D432F2">
      <w:footerReference w:type="even" r:id="rId9"/>
      <w:footerReference w:type="default" r:id="rId10"/>
      <w:pgSz w:w="15840" w:h="12240" w:orient="landscape"/>
      <w:pgMar w:top="1800" w:right="1440" w:bottom="180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F6" w:rsidRDefault="000D2FF6">
      <w:r>
        <w:separator/>
      </w:r>
    </w:p>
  </w:endnote>
  <w:endnote w:type="continuationSeparator" w:id="0">
    <w:p w:rsidR="000D2FF6" w:rsidRDefault="000D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97" w:rsidRDefault="00C46CE0" w:rsidP="000D2257">
    <w:pPr>
      <w:pStyle w:val="Footer"/>
      <w:framePr w:wrap="around" w:vAnchor="text" w:hAnchor="margin" w:xAlign="right" w:y="1"/>
      <w:rPr>
        <w:rStyle w:val="PageNumber"/>
      </w:rPr>
    </w:pPr>
    <w:r>
      <w:rPr>
        <w:rStyle w:val="PageNumber"/>
      </w:rPr>
      <w:fldChar w:fldCharType="begin"/>
    </w:r>
    <w:r w:rsidR="00E70097">
      <w:rPr>
        <w:rStyle w:val="PageNumber"/>
      </w:rPr>
      <w:instrText xml:space="preserve">PAGE  </w:instrText>
    </w:r>
    <w:r>
      <w:rPr>
        <w:rStyle w:val="PageNumber"/>
      </w:rPr>
      <w:fldChar w:fldCharType="end"/>
    </w:r>
  </w:p>
  <w:p w:rsidR="00E70097" w:rsidRDefault="00E70097" w:rsidP="001012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339669"/>
      <w:docPartObj>
        <w:docPartGallery w:val="Page Numbers (Bottom of Page)"/>
        <w:docPartUnique/>
      </w:docPartObj>
    </w:sdtPr>
    <w:sdtEndPr>
      <w:rPr>
        <w:noProof/>
      </w:rPr>
    </w:sdtEndPr>
    <w:sdtContent>
      <w:p w:rsidR="00D432F2" w:rsidRDefault="00D432F2">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E70097" w:rsidRDefault="00E70097" w:rsidP="001012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F6" w:rsidRDefault="000D2FF6">
      <w:r>
        <w:separator/>
      </w:r>
    </w:p>
  </w:footnote>
  <w:footnote w:type="continuationSeparator" w:id="0">
    <w:p w:rsidR="000D2FF6" w:rsidRDefault="000D2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FC"/>
    <w:multiLevelType w:val="hybridMultilevel"/>
    <w:tmpl w:val="ADDA0F9E"/>
    <w:lvl w:ilvl="0" w:tplc="04090011">
      <w:start w:val="1"/>
      <w:numFmt w:val="decimal"/>
      <w:lvlText w:val="%1)"/>
      <w:lvlJc w:val="left"/>
      <w:pPr>
        <w:ind w:left="644" w:hanging="360"/>
      </w:pPr>
      <w:rPr>
        <w:b w:val="0"/>
      </w:rPr>
    </w:lvl>
    <w:lvl w:ilvl="1" w:tplc="0C1A0019">
      <w:start w:val="1"/>
      <w:numFmt w:val="lowerLetter"/>
      <w:lvlText w:val="%2."/>
      <w:lvlJc w:val="left"/>
      <w:pPr>
        <w:ind w:left="1364" w:hanging="360"/>
      </w:pPr>
    </w:lvl>
    <w:lvl w:ilvl="2" w:tplc="0C1A001B">
      <w:start w:val="1"/>
      <w:numFmt w:val="lowerRoman"/>
      <w:lvlText w:val="%3."/>
      <w:lvlJc w:val="right"/>
      <w:pPr>
        <w:ind w:left="2084" w:hanging="180"/>
      </w:pPr>
    </w:lvl>
    <w:lvl w:ilvl="3" w:tplc="0C1A000F">
      <w:start w:val="1"/>
      <w:numFmt w:val="decimal"/>
      <w:lvlText w:val="%4."/>
      <w:lvlJc w:val="left"/>
      <w:pPr>
        <w:ind w:left="2804" w:hanging="360"/>
      </w:pPr>
    </w:lvl>
    <w:lvl w:ilvl="4" w:tplc="0C1A0019">
      <w:start w:val="1"/>
      <w:numFmt w:val="lowerLetter"/>
      <w:lvlText w:val="%5."/>
      <w:lvlJc w:val="left"/>
      <w:pPr>
        <w:ind w:left="3524" w:hanging="360"/>
      </w:pPr>
    </w:lvl>
    <w:lvl w:ilvl="5" w:tplc="0C1A001B">
      <w:start w:val="1"/>
      <w:numFmt w:val="lowerRoman"/>
      <w:lvlText w:val="%6."/>
      <w:lvlJc w:val="right"/>
      <w:pPr>
        <w:ind w:left="4244" w:hanging="180"/>
      </w:pPr>
    </w:lvl>
    <w:lvl w:ilvl="6" w:tplc="0C1A000F">
      <w:start w:val="1"/>
      <w:numFmt w:val="decimal"/>
      <w:lvlText w:val="%7."/>
      <w:lvlJc w:val="left"/>
      <w:pPr>
        <w:ind w:left="4964" w:hanging="360"/>
      </w:pPr>
    </w:lvl>
    <w:lvl w:ilvl="7" w:tplc="0C1A0019">
      <w:start w:val="1"/>
      <w:numFmt w:val="lowerLetter"/>
      <w:lvlText w:val="%8."/>
      <w:lvlJc w:val="left"/>
      <w:pPr>
        <w:ind w:left="5684" w:hanging="360"/>
      </w:pPr>
    </w:lvl>
    <w:lvl w:ilvl="8" w:tplc="0C1A001B">
      <w:start w:val="1"/>
      <w:numFmt w:val="lowerRoman"/>
      <w:lvlText w:val="%9."/>
      <w:lvlJc w:val="right"/>
      <w:pPr>
        <w:ind w:left="6404" w:hanging="180"/>
      </w:pPr>
    </w:lvl>
  </w:abstractNum>
  <w:abstractNum w:abstractNumId="1">
    <w:nsid w:val="0A78616D"/>
    <w:multiLevelType w:val="hybridMultilevel"/>
    <w:tmpl w:val="D9680188"/>
    <w:lvl w:ilvl="0" w:tplc="04090011">
      <w:start w:val="1"/>
      <w:numFmt w:val="decimal"/>
      <w:lvlText w:val="%1)"/>
      <w:lvlJc w:val="left"/>
      <w:pPr>
        <w:ind w:left="1080" w:hanging="360"/>
      </w:pPr>
      <w:rPr>
        <w:b w:val="0"/>
      </w:rPr>
    </w:lvl>
    <w:lvl w:ilvl="1" w:tplc="0C1A0019">
      <w:start w:val="1"/>
      <w:numFmt w:val="lowerLetter"/>
      <w:lvlText w:val="%2."/>
      <w:lvlJc w:val="left"/>
      <w:pPr>
        <w:ind w:left="1800" w:hanging="360"/>
      </w:pPr>
    </w:lvl>
    <w:lvl w:ilvl="2" w:tplc="0C1A001B">
      <w:start w:val="1"/>
      <w:numFmt w:val="lowerRoman"/>
      <w:lvlText w:val="%3."/>
      <w:lvlJc w:val="right"/>
      <w:pPr>
        <w:ind w:left="2520" w:hanging="180"/>
      </w:pPr>
    </w:lvl>
    <w:lvl w:ilvl="3" w:tplc="0C1A000F">
      <w:start w:val="1"/>
      <w:numFmt w:val="decimal"/>
      <w:lvlText w:val="%4."/>
      <w:lvlJc w:val="left"/>
      <w:pPr>
        <w:ind w:left="3240" w:hanging="360"/>
      </w:pPr>
    </w:lvl>
    <w:lvl w:ilvl="4" w:tplc="0C1A0019">
      <w:start w:val="1"/>
      <w:numFmt w:val="lowerLetter"/>
      <w:lvlText w:val="%5."/>
      <w:lvlJc w:val="left"/>
      <w:pPr>
        <w:ind w:left="3960" w:hanging="360"/>
      </w:pPr>
    </w:lvl>
    <w:lvl w:ilvl="5" w:tplc="0C1A001B">
      <w:start w:val="1"/>
      <w:numFmt w:val="lowerRoman"/>
      <w:lvlText w:val="%6."/>
      <w:lvlJc w:val="right"/>
      <w:pPr>
        <w:ind w:left="4680" w:hanging="180"/>
      </w:pPr>
    </w:lvl>
    <w:lvl w:ilvl="6" w:tplc="0C1A000F">
      <w:start w:val="1"/>
      <w:numFmt w:val="decimal"/>
      <w:lvlText w:val="%7."/>
      <w:lvlJc w:val="left"/>
      <w:pPr>
        <w:ind w:left="5400" w:hanging="360"/>
      </w:pPr>
    </w:lvl>
    <w:lvl w:ilvl="7" w:tplc="0C1A0019">
      <w:start w:val="1"/>
      <w:numFmt w:val="lowerLetter"/>
      <w:lvlText w:val="%8."/>
      <w:lvlJc w:val="left"/>
      <w:pPr>
        <w:ind w:left="6120" w:hanging="360"/>
      </w:pPr>
    </w:lvl>
    <w:lvl w:ilvl="8" w:tplc="0C1A001B">
      <w:start w:val="1"/>
      <w:numFmt w:val="lowerRoman"/>
      <w:lvlText w:val="%9."/>
      <w:lvlJc w:val="right"/>
      <w:pPr>
        <w:ind w:left="6840" w:hanging="180"/>
      </w:pPr>
    </w:lvl>
  </w:abstractNum>
  <w:abstractNum w:abstractNumId="2">
    <w:nsid w:val="103B6ACC"/>
    <w:multiLevelType w:val="hybridMultilevel"/>
    <w:tmpl w:val="C87EFF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3F379B0"/>
    <w:multiLevelType w:val="hybridMultilevel"/>
    <w:tmpl w:val="6A2A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1763D"/>
    <w:multiLevelType w:val="hybridMultilevel"/>
    <w:tmpl w:val="AA946BE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nsid w:val="1BBC4056"/>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6">
    <w:nsid w:val="1C814375"/>
    <w:multiLevelType w:val="hybridMultilevel"/>
    <w:tmpl w:val="34A2B518"/>
    <w:lvl w:ilvl="0" w:tplc="4A3A12DE">
      <w:start w:val="1"/>
      <w:numFmt w:val="lowerRoman"/>
      <w:lvlText w:val="(%1)"/>
      <w:lvlJc w:val="left"/>
      <w:pPr>
        <w:ind w:left="1550" w:hanging="720"/>
      </w:p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start w:val="1"/>
      <w:numFmt w:val="decimal"/>
      <w:lvlText w:val="%4."/>
      <w:lvlJc w:val="left"/>
      <w:pPr>
        <w:ind w:left="3350" w:hanging="360"/>
      </w:pPr>
    </w:lvl>
    <w:lvl w:ilvl="4" w:tplc="04090019">
      <w:start w:val="1"/>
      <w:numFmt w:val="lowerLetter"/>
      <w:lvlText w:val="%5."/>
      <w:lvlJc w:val="left"/>
      <w:pPr>
        <w:ind w:left="4070" w:hanging="360"/>
      </w:pPr>
    </w:lvl>
    <w:lvl w:ilvl="5" w:tplc="0409001B">
      <w:start w:val="1"/>
      <w:numFmt w:val="lowerRoman"/>
      <w:lvlText w:val="%6."/>
      <w:lvlJc w:val="right"/>
      <w:pPr>
        <w:ind w:left="4790" w:hanging="180"/>
      </w:pPr>
    </w:lvl>
    <w:lvl w:ilvl="6" w:tplc="0409000F">
      <w:start w:val="1"/>
      <w:numFmt w:val="decimal"/>
      <w:lvlText w:val="%7."/>
      <w:lvlJc w:val="left"/>
      <w:pPr>
        <w:ind w:left="5510" w:hanging="360"/>
      </w:pPr>
    </w:lvl>
    <w:lvl w:ilvl="7" w:tplc="04090019">
      <w:start w:val="1"/>
      <w:numFmt w:val="lowerLetter"/>
      <w:lvlText w:val="%8."/>
      <w:lvlJc w:val="left"/>
      <w:pPr>
        <w:ind w:left="6230" w:hanging="360"/>
      </w:pPr>
    </w:lvl>
    <w:lvl w:ilvl="8" w:tplc="0409001B">
      <w:start w:val="1"/>
      <w:numFmt w:val="lowerRoman"/>
      <w:lvlText w:val="%9."/>
      <w:lvlJc w:val="right"/>
      <w:pPr>
        <w:ind w:left="6950" w:hanging="180"/>
      </w:pPr>
    </w:lvl>
  </w:abstractNum>
  <w:abstractNum w:abstractNumId="7">
    <w:nsid w:val="1E6C5439"/>
    <w:multiLevelType w:val="hybridMultilevel"/>
    <w:tmpl w:val="96D28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427CA"/>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9">
    <w:nsid w:val="32F05C25"/>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0">
    <w:nsid w:val="4203305A"/>
    <w:multiLevelType w:val="singleLevel"/>
    <w:tmpl w:val="58FA09B8"/>
    <w:lvl w:ilvl="0">
      <w:start w:val="1"/>
      <w:numFmt w:val="decimal"/>
      <w:lvlText w:val="%1."/>
      <w:legacy w:legacy="1" w:legacySpace="0" w:legacyIndent="254"/>
      <w:lvlJc w:val="left"/>
      <w:pPr>
        <w:ind w:left="0" w:firstLine="0"/>
      </w:pPr>
      <w:rPr>
        <w:rFonts w:ascii="Book Antiqua" w:hAnsi="Book Antiqua" w:hint="default"/>
      </w:rPr>
    </w:lvl>
  </w:abstractNum>
  <w:abstractNum w:abstractNumId="11">
    <w:nsid w:val="465F69B5"/>
    <w:multiLevelType w:val="hybridMultilevel"/>
    <w:tmpl w:val="F5FED446"/>
    <w:lvl w:ilvl="0" w:tplc="0234D996">
      <w:start w:val="1"/>
      <w:numFmt w:val="decimal"/>
      <w:lvlText w:val="%1."/>
      <w:lvlJc w:val="left"/>
      <w:pPr>
        <w:ind w:left="975" w:hanging="9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467CEB"/>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3">
    <w:nsid w:val="574955F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575C2A11"/>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5">
    <w:nsid w:val="616A63E7"/>
    <w:multiLevelType w:val="hybridMultilevel"/>
    <w:tmpl w:val="180CD896"/>
    <w:lvl w:ilvl="0" w:tplc="85768FF8">
      <w:start w:val="1"/>
      <w:numFmt w:val="decimal"/>
      <w:lvlText w:val="(%1)"/>
      <w:lvlJc w:val="left"/>
      <w:pPr>
        <w:ind w:left="720" w:hanging="360"/>
      </w:pPr>
      <w:rPr>
        <w:rFonts w:ascii="Book Antiqua" w:hAnsi="Book Antiqua" w:hint="default"/>
      </w:rPr>
    </w:lvl>
    <w:lvl w:ilvl="1" w:tplc="241A0019">
      <w:start w:val="1"/>
      <w:numFmt w:val="lowerLetter"/>
      <w:lvlText w:val="%2."/>
      <w:lvlJc w:val="left"/>
      <w:pPr>
        <w:ind w:left="1440" w:hanging="360"/>
      </w:pPr>
    </w:lvl>
    <w:lvl w:ilvl="2" w:tplc="85768FF8">
      <w:start w:val="1"/>
      <w:numFmt w:val="decimal"/>
      <w:lvlText w:val="(%3)"/>
      <w:lvlJc w:val="left"/>
      <w:pPr>
        <w:ind w:left="2160" w:hanging="180"/>
      </w:pPr>
      <w:rPr>
        <w:rFonts w:ascii="Book Antiqua" w:hAnsi="Book Antiqua" w:hint="default"/>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nsid w:val="61CA518B"/>
    <w:multiLevelType w:val="hybridMultilevel"/>
    <w:tmpl w:val="0CCAF0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B624B2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8">
    <w:nsid w:val="6C7768A5"/>
    <w:multiLevelType w:val="hybridMultilevel"/>
    <w:tmpl w:val="9336F21C"/>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nsid w:val="6D175A30"/>
    <w:multiLevelType w:val="hybridMultilevel"/>
    <w:tmpl w:val="7B1EC5BE"/>
    <w:lvl w:ilvl="0" w:tplc="D8D4EDA6">
      <w:start w:val="1"/>
      <w:numFmt w:val="decimal"/>
      <w:lvlText w:val="%1."/>
      <w:lvlJc w:val="left"/>
      <w:pPr>
        <w:ind w:left="720" w:hanging="360"/>
      </w:pPr>
      <w:rPr>
        <w:rFonts w:cs="Arial" w:hint="default"/>
        <w:color w:val="008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6264E6"/>
    <w:multiLevelType w:val="hybridMultilevel"/>
    <w:tmpl w:val="41142EAE"/>
    <w:lvl w:ilvl="0" w:tplc="D8248F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7"/>
  </w:num>
  <w:num w:numId="4">
    <w:abstractNumId w:val="1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14"/>
    <w:lvlOverride w:ilvl="0">
      <w:startOverride w:val="1"/>
    </w:lvlOverride>
  </w:num>
  <w:num w:numId="11">
    <w:abstractNumId w:val="12"/>
    <w:lvlOverride w:ilvl="0">
      <w:startOverride w:val="1"/>
    </w:lvlOverride>
  </w:num>
  <w:num w:numId="12">
    <w:abstractNumId w:val="8"/>
    <w:lvlOverride w:ilvl="0">
      <w:startOverride w:val="1"/>
    </w:lvlOverride>
  </w:num>
  <w:num w:numId="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lvlOverride w:ilvl="0">
      <w:startOverride w:val="1"/>
    </w:lvlOverride>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8C"/>
    <w:rsid w:val="00000070"/>
    <w:rsid w:val="00000343"/>
    <w:rsid w:val="00000A23"/>
    <w:rsid w:val="00000C60"/>
    <w:rsid w:val="00000F7C"/>
    <w:rsid w:val="00001BC5"/>
    <w:rsid w:val="0000215D"/>
    <w:rsid w:val="00002CD9"/>
    <w:rsid w:val="00004591"/>
    <w:rsid w:val="00006522"/>
    <w:rsid w:val="000106A9"/>
    <w:rsid w:val="00010B86"/>
    <w:rsid w:val="0001280A"/>
    <w:rsid w:val="00014B95"/>
    <w:rsid w:val="00015E05"/>
    <w:rsid w:val="00016FBC"/>
    <w:rsid w:val="0001781A"/>
    <w:rsid w:val="00017C1A"/>
    <w:rsid w:val="00020F34"/>
    <w:rsid w:val="00021F20"/>
    <w:rsid w:val="00022879"/>
    <w:rsid w:val="00022F13"/>
    <w:rsid w:val="00025F95"/>
    <w:rsid w:val="0002726A"/>
    <w:rsid w:val="00027630"/>
    <w:rsid w:val="00027A3C"/>
    <w:rsid w:val="00027CC3"/>
    <w:rsid w:val="00027DC8"/>
    <w:rsid w:val="000347A3"/>
    <w:rsid w:val="00034B4D"/>
    <w:rsid w:val="000355D7"/>
    <w:rsid w:val="000365A5"/>
    <w:rsid w:val="00036649"/>
    <w:rsid w:val="0004096D"/>
    <w:rsid w:val="00041253"/>
    <w:rsid w:val="00041B13"/>
    <w:rsid w:val="00043D36"/>
    <w:rsid w:val="0004785E"/>
    <w:rsid w:val="00051F1F"/>
    <w:rsid w:val="00055843"/>
    <w:rsid w:val="000568E7"/>
    <w:rsid w:val="00056F11"/>
    <w:rsid w:val="00057075"/>
    <w:rsid w:val="0005710C"/>
    <w:rsid w:val="00060097"/>
    <w:rsid w:val="00062E0A"/>
    <w:rsid w:val="00064210"/>
    <w:rsid w:val="00065839"/>
    <w:rsid w:val="00065F90"/>
    <w:rsid w:val="00072318"/>
    <w:rsid w:val="00074882"/>
    <w:rsid w:val="00074E2D"/>
    <w:rsid w:val="00076998"/>
    <w:rsid w:val="000771DD"/>
    <w:rsid w:val="0008045E"/>
    <w:rsid w:val="00080F17"/>
    <w:rsid w:val="0008253B"/>
    <w:rsid w:val="00083D8E"/>
    <w:rsid w:val="0008414A"/>
    <w:rsid w:val="000847D9"/>
    <w:rsid w:val="000849EA"/>
    <w:rsid w:val="000853EF"/>
    <w:rsid w:val="0008641B"/>
    <w:rsid w:val="00086614"/>
    <w:rsid w:val="00086B09"/>
    <w:rsid w:val="00087218"/>
    <w:rsid w:val="00090997"/>
    <w:rsid w:val="00091258"/>
    <w:rsid w:val="000918D3"/>
    <w:rsid w:val="00092BC6"/>
    <w:rsid w:val="0009360B"/>
    <w:rsid w:val="00093614"/>
    <w:rsid w:val="0009656A"/>
    <w:rsid w:val="000972B6"/>
    <w:rsid w:val="000A1A44"/>
    <w:rsid w:val="000A1FC0"/>
    <w:rsid w:val="000A3CD5"/>
    <w:rsid w:val="000A5264"/>
    <w:rsid w:val="000A6119"/>
    <w:rsid w:val="000A74B7"/>
    <w:rsid w:val="000A7720"/>
    <w:rsid w:val="000A7A90"/>
    <w:rsid w:val="000A7E1D"/>
    <w:rsid w:val="000B1B94"/>
    <w:rsid w:val="000B21AF"/>
    <w:rsid w:val="000B3530"/>
    <w:rsid w:val="000B3546"/>
    <w:rsid w:val="000B5442"/>
    <w:rsid w:val="000B7562"/>
    <w:rsid w:val="000B779A"/>
    <w:rsid w:val="000C00D2"/>
    <w:rsid w:val="000C04A2"/>
    <w:rsid w:val="000C23BB"/>
    <w:rsid w:val="000C5755"/>
    <w:rsid w:val="000C6AB5"/>
    <w:rsid w:val="000C7058"/>
    <w:rsid w:val="000C7251"/>
    <w:rsid w:val="000C7966"/>
    <w:rsid w:val="000D1C1E"/>
    <w:rsid w:val="000D2257"/>
    <w:rsid w:val="000D29B2"/>
    <w:rsid w:val="000D2FF6"/>
    <w:rsid w:val="000D30F0"/>
    <w:rsid w:val="000D4B77"/>
    <w:rsid w:val="000D58B1"/>
    <w:rsid w:val="000D74A7"/>
    <w:rsid w:val="000E1848"/>
    <w:rsid w:val="000E2940"/>
    <w:rsid w:val="000E3E36"/>
    <w:rsid w:val="000E6D78"/>
    <w:rsid w:val="000F0B94"/>
    <w:rsid w:val="000F26B0"/>
    <w:rsid w:val="000F3A93"/>
    <w:rsid w:val="000F51B2"/>
    <w:rsid w:val="000F584B"/>
    <w:rsid w:val="000F5F73"/>
    <w:rsid w:val="000F6A13"/>
    <w:rsid w:val="000F795F"/>
    <w:rsid w:val="001006BB"/>
    <w:rsid w:val="00100ED6"/>
    <w:rsid w:val="001012D8"/>
    <w:rsid w:val="00101DAC"/>
    <w:rsid w:val="00101E36"/>
    <w:rsid w:val="00102694"/>
    <w:rsid w:val="00102CA5"/>
    <w:rsid w:val="00103212"/>
    <w:rsid w:val="001056D0"/>
    <w:rsid w:val="00106485"/>
    <w:rsid w:val="00107D79"/>
    <w:rsid w:val="0011074B"/>
    <w:rsid w:val="00111951"/>
    <w:rsid w:val="001119F3"/>
    <w:rsid w:val="001138BF"/>
    <w:rsid w:val="00113902"/>
    <w:rsid w:val="001149E5"/>
    <w:rsid w:val="00117126"/>
    <w:rsid w:val="00120903"/>
    <w:rsid w:val="001214AD"/>
    <w:rsid w:val="001226B0"/>
    <w:rsid w:val="00125746"/>
    <w:rsid w:val="0012653D"/>
    <w:rsid w:val="00126A35"/>
    <w:rsid w:val="00131258"/>
    <w:rsid w:val="00132237"/>
    <w:rsid w:val="0013374E"/>
    <w:rsid w:val="001339CA"/>
    <w:rsid w:val="00134660"/>
    <w:rsid w:val="001366C4"/>
    <w:rsid w:val="00137DA8"/>
    <w:rsid w:val="00140A3E"/>
    <w:rsid w:val="00142A82"/>
    <w:rsid w:val="00143B10"/>
    <w:rsid w:val="00144722"/>
    <w:rsid w:val="001447FD"/>
    <w:rsid w:val="001452A8"/>
    <w:rsid w:val="00145A37"/>
    <w:rsid w:val="00145F0D"/>
    <w:rsid w:val="00146F72"/>
    <w:rsid w:val="00147312"/>
    <w:rsid w:val="001477A8"/>
    <w:rsid w:val="00147956"/>
    <w:rsid w:val="0015340D"/>
    <w:rsid w:val="00153EA1"/>
    <w:rsid w:val="0015558A"/>
    <w:rsid w:val="00156283"/>
    <w:rsid w:val="00156326"/>
    <w:rsid w:val="001573F9"/>
    <w:rsid w:val="00161F6F"/>
    <w:rsid w:val="00165A9B"/>
    <w:rsid w:val="001706B8"/>
    <w:rsid w:val="00170831"/>
    <w:rsid w:val="00170B67"/>
    <w:rsid w:val="00170F18"/>
    <w:rsid w:val="00171923"/>
    <w:rsid w:val="00175166"/>
    <w:rsid w:val="001755EF"/>
    <w:rsid w:val="00177735"/>
    <w:rsid w:val="0017788A"/>
    <w:rsid w:val="00180B53"/>
    <w:rsid w:val="00181818"/>
    <w:rsid w:val="001856FE"/>
    <w:rsid w:val="00185AEC"/>
    <w:rsid w:val="001867C0"/>
    <w:rsid w:val="001877A2"/>
    <w:rsid w:val="00190B4A"/>
    <w:rsid w:val="00191B65"/>
    <w:rsid w:val="00192D60"/>
    <w:rsid w:val="001933E4"/>
    <w:rsid w:val="00196501"/>
    <w:rsid w:val="00197844"/>
    <w:rsid w:val="001A05AB"/>
    <w:rsid w:val="001A4C18"/>
    <w:rsid w:val="001A5B1A"/>
    <w:rsid w:val="001A5E7D"/>
    <w:rsid w:val="001A6D8C"/>
    <w:rsid w:val="001A6F74"/>
    <w:rsid w:val="001A72EF"/>
    <w:rsid w:val="001A7C51"/>
    <w:rsid w:val="001B0FF4"/>
    <w:rsid w:val="001B19A4"/>
    <w:rsid w:val="001B7FE2"/>
    <w:rsid w:val="001C0193"/>
    <w:rsid w:val="001C29B9"/>
    <w:rsid w:val="001C3B6A"/>
    <w:rsid w:val="001C5101"/>
    <w:rsid w:val="001C6663"/>
    <w:rsid w:val="001D1735"/>
    <w:rsid w:val="001D1B59"/>
    <w:rsid w:val="001D2E57"/>
    <w:rsid w:val="001D3362"/>
    <w:rsid w:val="001D5955"/>
    <w:rsid w:val="001D63DA"/>
    <w:rsid w:val="001D7192"/>
    <w:rsid w:val="001D7352"/>
    <w:rsid w:val="001D7527"/>
    <w:rsid w:val="001D79BC"/>
    <w:rsid w:val="001E22DC"/>
    <w:rsid w:val="001E2314"/>
    <w:rsid w:val="001E2480"/>
    <w:rsid w:val="001E5949"/>
    <w:rsid w:val="001E601A"/>
    <w:rsid w:val="001E7579"/>
    <w:rsid w:val="001E7802"/>
    <w:rsid w:val="001E7886"/>
    <w:rsid w:val="001E7E23"/>
    <w:rsid w:val="001F1B58"/>
    <w:rsid w:val="001F438C"/>
    <w:rsid w:val="001F4FD7"/>
    <w:rsid w:val="001F6B80"/>
    <w:rsid w:val="001F787B"/>
    <w:rsid w:val="001F7FF6"/>
    <w:rsid w:val="002013E9"/>
    <w:rsid w:val="002018B7"/>
    <w:rsid w:val="00202C33"/>
    <w:rsid w:val="00203F9A"/>
    <w:rsid w:val="0020746F"/>
    <w:rsid w:val="00207C14"/>
    <w:rsid w:val="002120F0"/>
    <w:rsid w:val="00213195"/>
    <w:rsid w:val="00213CD4"/>
    <w:rsid w:val="002151C0"/>
    <w:rsid w:val="002151D7"/>
    <w:rsid w:val="002161B6"/>
    <w:rsid w:val="00217B3B"/>
    <w:rsid w:val="002221FB"/>
    <w:rsid w:val="00222C2C"/>
    <w:rsid w:val="00223FA8"/>
    <w:rsid w:val="00226390"/>
    <w:rsid w:val="002276AE"/>
    <w:rsid w:val="00227C4C"/>
    <w:rsid w:val="00227E3B"/>
    <w:rsid w:val="00231D4A"/>
    <w:rsid w:val="002339BD"/>
    <w:rsid w:val="00235718"/>
    <w:rsid w:val="00235F37"/>
    <w:rsid w:val="00236D65"/>
    <w:rsid w:val="00245CFE"/>
    <w:rsid w:val="00247C80"/>
    <w:rsid w:val="00251A78"/>
    <w:rsid w:val="0025346D"/>
    <w:rsid w:val="00256FC6"/>
    <w:rsid w:val="0025771C"/>
    <w:rsid w:val="00257776"/>
    <w:rsid w:val="0026102A"/>
    <w:rsid w:val="00261AEE"/>
    <w:rsid w:val="00263CA3"/>
    <w:rsid w:val="002652FF"/>
    <w:rsid w:val="00265E82"/>
    <w:rsid w:val="002706C7"/>
    <w:rsid w:val="00270C81"/>
    <w:rsid w:val="00272C4F"/>
    <w:rsid w:val="0027474A"/>
    <w:rsid w:val="00275D14"/>
    <w:rsid w:val="00276CC9"/>
    <w:rsid w:val="00277138"/>
    <w:rsid w:val="0027753E"/>
    <w:rsid w:val="00281563"/>
    <w:rsid w:val="002821E5"/>
    <w:rsid w:val="002827B8"/>
    <w:rsid w:val="00282DE2"/>
    <w:rsid w:val="002833FA"/>
    <w:rsid w:val="00285500"/>
    <w:rsid w:val="00287BBD"/>
    <w:rsid w:val="00290022"/>
    <w:rsid w:val="002903C6"/>
    <w:rsid w:val="0029254A"/>
    <w:rsid w:val="002927D7"/>
    <w:rsid w:val="00293710"/>
    <w:rsid w:val="00293E7F"/>
    <w:rsid w:val="00296490"/>
    <w:rsid w:val="00296885"/>
    <w:rsid w:val="00296A29"/>
    <w:rsid w:val="00297520"/>
    <w:rsid w:val="002A03DB"/>
    <w:rsid w:val="002A1C45"/>
    <w:rsid w:val="002A1EDA"/>
    <w:rsid w:val="002A3713"/>
    <w:rsid w:val="002A4266"/>
    <w:rsid w:val="002A4586"/>
    <w:rsid w:val="002A67AE"/>
    <w:rsid w:val="002A7366"/>
    <w:rsid w:val="002B170D"/>
    <w:rsid w:val="002B28FB"/>
    <w:rsid w:val="002B38FC"/>
    <w:rsid w:val="002B56A5"/>
    <w:rsid w:val="002B6008"/>
    <w:rsid w:val="002B6076"/>
    <w:rsid w:val="002B7132"/>
    <w:rsid w:val="002B7B13"/>
    <w:rsid w:val="002C0926"/>
    <w:rsid w:val="002C1CF9"/>
    <w:rsid w:val="002C2919"/>
    <w:rsid w:val="002C3FC4"/>
    <w:rsid w:val="002C770E"/>
    <w:rsid w:val="002D007C"/>
    <w:rsid w:val="002D0B27"/>
    <w:rsid w:val="002D35B8"/>
    <w:rsid w:val="002D65A9"/>
    <w:rsid w:val="002D69AE"/>
    <w:rsid w:val="002D74A8"/>
    <w:rsid w:val="002E0562"/>
    <w:rsid w:val="002E133E"/>
    <w:rsid w:val="002E16BA"/>
    <w:rsid w:val="002E42E4"/>
    <w:rsid w:val="002E5431"/>
    <w:rsid w:val="002E69B2"/>
    <w:rsid w:val="002E77F6"/>
    <w:rsid w:val="002F20A4"/>
    <w:rsid w:val="002F3F67"/>
    <w:rsid w:val="002F3FDB"/>
    <w:rsid w:val="002F4F1E"/>
    <w:rsid w:val="002F77BD"/>
    <w:rsid w:val="0030090E"/>
    <w:rsid w:val="003009A5"/>
    <w:rsid w:val="00300E28"/>
    <w:rsid w:val="00300FF4"/>
    <w:rsid w:val="00301B16"/>
    <w:rsid w:val="003025B6"/>
    <w:rsid w:val="00303389"/>
    <w:rsid w:val="00303EB6"/>
    <w:rsid w:val="00305DC7"/>
    <w:rsid w:val="00306283"/>
    <w:rsid w:val="00307E22"/>
    <w:rsid w:val="003135D3"/>
    <w:rsid w:val="00316404"/>
    <w:rsid w:val="00316D3D"/>
    <w:rsid w:val="003179F2"/>
    <w:rsid w:val="00320383"/>
    <w:rsid w:val="0032048B"/>
    <w:rsid w:val="00321C85"/>
    <w:rsid w:val="003255AA"/>
    <w:rsid w:val="00325BAF"/>
    <w:rsid w:val="00326C85"/>
    <w:rsid w:val="0033066E"/>
    <w:rsid w:val="0033196B"/>
    <w:rsid w:val="00332015"/>
    <w:rsid w:val="00333DCF"/>
    <w:rsid w:val="0033449F"/>
    <w:rsid w:val="00334589"/>
    <w:rsid w:val="0033555B"/>
    <w:rsid w:val="003356CB"/>
    <w:rsid w:val="00335874"/>
    <w:rsid w:val="00335A1D"/>
    <w:rsid w:val="00337615"/>
    <w:rsid w:val="0033761D"/>
    <w:rsid w:val="0033784C"/>
    <w:rsid w:val="00337868"/>
    <w:rsid w:val="00342DA0"/>
    <w:rsid w:val="003440B5"/>
    <w:rsid w:val="00344795"/>
    <w:rsid w:val="00346668"/>
    <w:rsid w:val="00350105"/>
    <w:rsid w:val="003503C9"/>
    <w:rsid w:val="003507AD"/>
    <w:rsid w:val="00350F7C"/>
    <w:rsid w:val="003519B3"/>
    <w:rsid w:val="00352303"/>
    <w:rsid w:val="00352705"/>
    <w:rsid w:val="00353052"/>
    <w:rsid w:val="003532F3"/>
    <w:rsid w:val="00353AB9"/>
    <w:rsid w:val="00354369"/>
    <w:rsid w:val="0035524E"/>
    <w:rsid w:val="00356534"/>
    <w:rsid w:val="00357268"/>
    <w:rsid w:val="00357645"/>
    <w:rsid w:val="00357D63"/>
    <w:rsid w:val="00360219"/>
    <w:rsid w:val="00360C02"/>
    <w:rsid w:val="00360DA2"/>
    <w:rsid w:val="003626F5"/>
    <w:rsid w:val="00362AAD"/>
    <w:rsid w:val="00362E2B"/>
    <w:rsid w:val="003712ED"/>
    <w:rsid w:val="00371AD1"/>
    <w:rsid w:val="00371B65"/>
    <w:rsid w:val="003728F0"/>
    <w:rsid w:val="003748D1"/>
    <w:rsid w:val="00374B36"/>
    <w:rsid w:val="00375FD1"/>
    <w:rsid w:val="003762D5"/>
    <w:rsid w:val="00376D65"/>
    <w:rsid w:val="003774F7"/>
    <w:rsid w:val="00380D7F"/>
    <w:rsid w:val="00381465"/>
    <w:rsid w:val="003831EB"/>
    <w:rsid w:val="00383364"/>
    <w:rsid w:val="00387D7F"/>
    <w:rsid w:val="00390E06"/>
    <w:rsid w:val="003920F2"/>
    <w:rsid w:val="00392CA5"/>
    <w:rsid w:val="00394AD6"/>
    <w:rsid w:val="00396864"/>
    <w:rsid w:val="0039716B"/>
    <w:rsid w:val="003975BC"/>
    <w:rsid w:val="003A0516"/>
    <w:rsid w:val="003A0698"/>
    <w:rsid w:val="003A3B8B"/>
    <w:rsid w:val="003A4B90"/>
    <w:rsid w:val="003A6489"/>
    <w:rsid w:val="003A7EBA"/>
    <w:rsid w:val="003B0FE8"/>
    <w:rsid w:val="003B38EE"/>
    <w:rsid w:val="003B3CB3"/>
    <w:rsid w:val="003B449C"/>
    <w:rsid w:val="003B5D1F"/>
    <w:rsid w:val="003B65E0"/>
    <w:rsid w:val="003B6F4A"/>
    <w:rsid w:val="003B7989"/>
    <w:rsid w:val="003C03C3"/>
    <w:rsid w:val="003C0D39"/>
    <w:rsid w:val="003C35F1"/>
    <w:rsid w:val="003C55C6"/>
    <w:rsid w:val="003C5990"/>
    <w:rsid w:val="003C6068"/>
    <w:rsid w:val="003C6609"/>
    <w:rsid w:val="003C77C9"/>
    <w:rsid w:val="003D0622"/>
    <w:rsid w:val="003D2C1F"/>
    <w:rsid w:val="003D4EF1"/>
    <w:rsid w:val="003D754E"/>
    <w:rsid w:val="003E5510"/>
    <w:rsid w:val="003E60E4"/>
    <w:rsid w:val="003E7831"/>
    <w:rsid w:val="003E7E78"/>
    <w:rsid w:val="003E7F02"/>
    <w:rsid w:val="003E7F12"/>
    <w:rsid w:val="003F2350"/>
    <w:rsid w:val="003F26C0"/>
    <w:rsid w:val="003F3736"/>
    <w:rsid w:val="00401F2E"/>
    <w:rsid w:val="00402FCE"/>
    <w:rsid w:val="00403CF9"/>
    <w:rsid w:val="0040466B"/>
    <w:rsid w:val="0040495E"/>
    <w:rsid w:val="0040507B"/>
    <w:rsid w:val="004062B8"/>
    <w:rsid w:val="00411CCD"/>
    <w:rsid w:val="00414181"/>
    <w:rsid w:val="004148A3"/>
    <w:rsid w:val="00415244"/>
    <w:rsid w:val="00415600"/>
    <w:rsid w:val="00415F24"/>
    <w:rsid w:val="00416216"/>
    <w:rsid w:val="004166E6"/>
    <w:rsid w:val="004168DA"/>
    <w:rsid w:val="00416C27"/>
    <w:rsid w:val="00416F70"/>
    <w:rsid w:val="004171EF"/>
    <w:rsid w:val="00420253"/>
    <w:rsid w:val="004233CC"/>
    <w:rsid w:val="004237A2"/>
    <w:rsid w:val="004250E9"/>
    <w:rsid w:val="00425B2E"/>
    <w:rsid w:val="0042626B"/>
    <w:rsid w:val="00426D6E"/>
    <w:rsid w:val="0042702D"/>
    <w:rsid w:val="004273F8"/>
    <w:rsid w:val="00427CEF"/>
    <w:rsid w:val="00427E0D"/>
    <w:rsid w:val="00430432"/>
    <w:rsid w:val="00430BC0"/>
    <w:rsid w:val="00430BFB"/>
    <w:rsid w:val="00432F44"/>
    <w:rsid w:val="00433C17"/>
    <w:rsid w:val="0043457B"/>
    <w:rsid w:val="00437501"/>
    <w:rsid w:val="00440415"/>
    <w:rsid w:val="0044060D"/>
    <w:rsid w:val="00440E8D"/>
    <w:rsid w:val="00445562"/>
    <w:rsid w:val="00445719"/>
    <w:rsid w:val="00445808"/>
    <w:rsid w:val="00445E7F"/>
    <w:rsid w:val="00445F5A"/>
    <w:rsid w:val="00445F6B"/>
    <w:rsid w:val="00446733"/>
    <w:rsid w:val="00446951"/>
    <w:rsid w:val="00447427"/>
    <w:rsid w:val="00452E79"/>
    <w:rsid w:val="004534EC"/>
    <w:rsid w:val="00454074"/>
    <w:rsid w:val="00454DF3"/>
    <w:rsid w:val="00456806"/>
    <w:rsid w:val="004608E6"/>
    <w:rsid w:val="00461BCE"/>
    <w:rsid w:val="004636B1"/>
    <w:rsid w:val="00464DEE"/>
    <w:rsid w:val="00466A46"/>
    <w:rsid w:val="0046797C"/>
    <w:rsid w:val="004723A5"/>
    <w:rsid w:val="0047322B"/>
    <w:rsid w:val="00473E13"/>
    <w:rsid w:val="004757B4"/>
    <w:rsid w:val="00476AEE"/>
    <w:rsid w:val="00476BE7"/>
    <w:rsid w:val="00476FA4"/>
    <w:rsid w:val="00476FC1"/>
    <w:rsid w:val="0048190A"/>
    <w:rsid w:val="004832EA"/>
    <w:rsid w:val="0048378C"/>
    <w:rsid w:val="004872AA"/>
    <w:rsid w:val="00492AEF"/>
    <w:rsid w:val="004A062F"/>
    <w:rsid w:val="004A107A"/>
    <w:rsid w:val="004A186E"/>
    <w:rsid w:val="004A3290"/>
    <w:rsid w:val="004A351A"/>
    <w:rsid w:val="004A358C"/>
    <w:rsid w:val="004A5839"/>
    <w:rsid w:val="004A766D"/>
    <w:rsid w:val="004B0453"/>
    <w:rsid w:val="004B095A"/>
    <w:rsid w:val="004B18A8"/>
    <w:rsid w:val="004B4281"/>
    <w:rsid w:val="004B44BE"/>
    <w:rsid w:val="004B6D06"/>
    <w:rsid w:val="004C1FBA"/>
    <w:rsid w:val="004C3D6E"/>
    <w:rsid w:val="004C6299"/>
    <w:rsid w:val="004C6B32"/>
    <w:rsid w:val="004D1CF3"/>
    <w:rsid w:val="004D2250"/>
    <w:rsid w:val="004D2842"/>
    <w:rsid w:val="004D55EE"/>
    <w:rsid w:val="004D798A"/>
    <w:rsid w:val="004D7B60"/>
    <w:rsid w:val="004E0FEB"/>
    <w:rsid w:val="004E19B4"/>
    <w:rsid w:val="004E25E8"/>
    <w:rsid w:val="004E2F9E"/>
    <w:rsid w:val="004E4A50"/>
    <w:rsid w:val="004E50BC"/>
    <w:rsid w:val="004E5205"/>
    <w:rsid w:val="004E5687"/>
    <w:rsid w:val="004F00C0"/>
    <w:rsid w:val="004F0683"/>
    <w:rsid w:val="004F0F88"/>
    <w:rsid w:val="004F2EAE"/>
    <w:rsid w:val="0050132D"/>
    <w:rsid w:val="0050136E"/>
    <w:rsid w:val="0050182E"/>
    <w:rsid w:val="00501BC2"/>
    <w:rsid w:val="00501C84"/>
    <w:rsid w:val="00506763"/>
    <w:rsid w:val="005070FC"/>
    <w:rsid w:val="0050718B"/>
    <w:rsid w:val="00510E73"/>
    <w:rsid w:val="00510E93"/>
    <w:rsid w:val="00510EE6"/>
    <w:rsid w:val="00510FAC"/>
    <w:rsid w:val="00512A93"/>
    <w:rsid w:val="0051365B"/>
    <w:rsid w:val="00514060"/>
    <w:rsid w:val="00514A12"/>
    <w:rsid w:val="00515E5D"/>
    <w:rsid w:val="00516188"/>
    <w:rsid w:val="00516362"/>
    <w:rsid w:val="00517DD6"/>
    <w:rsid w:val="00520D17"/>
    <w:rsid w:val="00522F1E"/>
    <w:rsid w:val="00523493"/>
    <w:rsid w:val="005237FC"/>
    <w:rsid w:val="00525C81"/>
    <w:rsid w:val="00526524"/>
    <w:rsid w:val="00526700"/>
    <w:rsid w:val="00526CA1"/>
    <w:rsid w:val="00526FD0"/>
    <w:rsid w:val="00530A4A"/>
    <w:rsid w:val="00532AA1"/>
    <w:rsid w:val="00533013"/>
    <w:rsid w:val="005334E6"/>
    <w:rsid w:val="0053591F"/>
    <w:rsid w:val="00535ACD"/>
    <w:rsid w:val="0053684D"/>
    <w:rsid w:val="00537DA1"/>
    <w:rsid w:val="005419EA"/>
    <w:rsid w:val="005425BA"/>
    <w:rsid w:val="00542912"/>
    <w:rsid w:val="005429E4"/>
    <w:rsid w:val="00545051"/>
    <w:rsid w:val="0054558C"/>
    <w:rsid w:val="005458B2"/>
    <w:rsid w:val="00545CB7"/>
    <w:rsid w:val="005503C3"/>
    <w:rsid w:val="005503CD"/>
    <w:rsid w:val="0055313F"/>
    <w:rsid w:val="0055352C"/>
    <w:rsid w:val="005551FA"/>
    <w:rsid w:val="005564B8"/>
    <w:rsid w:val="00557189"/>
    <w:rsid w:val="00557307"/>
    <w:rsid w:val="00557348"/>
    <w:rsid w:val="00560DFE"/>
    <w:rsid w:val="0056122F"/>
    <w:rsid w:val="00564B73"/>
    <w:rsid w:val="00564BCA"/>
    <w:rsid w:val="005669DB"/>
    <w:rsid w:val="00567474"/>
    <w:rsid w:val="00567FC4"/>
    <w:rsid w:val="005703CA"/>
    <w:rsid w:val="005704C3"/>
    <w:rsid w:val="005713C9"/>
    <w:rsid w:val="00571D05"/>
    <w:rsid w:val="00571FD6"/>
    <w:rsid w:val="0057568B"/>
    <w:rsid w:val="0058145C"/>
    <w:rsid w:val="00583EE2"/>
    <w:rsid w:val="00584AF2"/>
    <w:rsid w:val="00585648"/>
    <w:rsid w:val="0058631A"/>
    <w:rsid w:val="00586820"/>
    <w:rsid w:val="00587F14"/>
    <w:rsid w:val="00590027"/>
    <w:rsid w:val="0059008F"/>
    <w:rsid w:val="005904A3"/>
    <w:rsid w:val="0059110E"/>
    <w:rsid w:val="005914D8"/>
    <w:rsid w:val="00591A75"/>
    <w:rsid w:val="005920E5"/>
    <w:rsid w:val="0059343E"/>
    <w:rsid w:val="00595692"/>
    <w:rsid w:val="00596640"/>
    <w:rsid w:val="00596DAB"/>
    <w:rsid w:val="005A0D91"/>
    <w:rsid w:val="005A1304"/>
    <w:rsid w:val="005A16DD"/>
    <w:rsid w:val="005A283B"/>
    <w:rsid w:val="005A3107"/>
    <w:rsid w:val="005A3977"/>
    <w:rsid w:val="005A4085"/>
    <w:rsid w:val="005A68D3"/>
    <w:rsid w:val="005A7336"/>
    <w:rsid w:val="005B263C"/>
    <w:rsid w:val="005B2E62"/>
    <w:rsid w:val="005B3397"/>
    <w:rsid w:val="005B47F2"/>
    <w:rsid w:val="005B4BEE"/>
    <w:rsid w:val="005B5C1E"/>
    <w:rsid w:val="005B6293"/>
    <w:rsid w:val="005B6AEC"/>
    <w:rsid w:val="005B7445"/>
    <w:rsid w:val="005C0F27"/>
    <w:rsid w:val="005C2525"/>
    <w:rsid w:val="005C307A"/>
    <w:rsid w:val="005C3846"/>
    <w:rsid w:val="005C3C64"/>
    <w:rsid w:val="005C3F28"/>
    <w:rsid w:val="005C3FB8"/>
    <w:rsid w:val="005C4075"/>
    <w:rsid w:val="005C7878"/>
    <w:rsid w:val="005C7CD8"/>
    <w:rsid w:val="005D1BC7"/>
    <w:rsid w:val="005D2CAC"/>
    <w:rsid w:val="005D4A06"/>
    <w:rsid w:val="005D61E7"/>
    <w:rsid w:val="005D7194"/>
    <w:rsid w:val="005E0F89"/>
    <w:rsid w:val="005E271E"/>
    <w:rsid w:val="005E2E4D"/>
    <w:rsid w:val="005E37DD"/>
    <w:rsid w:val="005E457D"/>
    <w:rsid w:val="005E4811"/>
    <w:rsid w:val="005E7953"/>
    <w:rsid w:val="005F01BB"/>
    <w:rsid w:val="005F14A5"/>
    <w:rsid w:val="005F3ACA"/>
    <w:rsid w:val="005F45B8"/>
    <w:rsid w:val="005F5866"/>
    <w:rsid w:val="005F7ECD"/>
    <w:rsid w:val="00604330"/>
    <w:rsid w:val="006058C9"/>
    <w:rsid w:val="006070BC"/>
    <w:rsid w:val="00610B70"/>
    <w:rsid w:val="00611450"/>
    <w:rsid w:val="0061224C"/>
    <w:rsid w:val="00613491"/>
    <w:rsid w:val="0061633C"/>
    <w:rsid w:val="006171E7"/>
    <w:rsid w:val="0061785B"/>
    <w:rsid w:val="00621E4E"/>
    <w:rsid w:val="0062335F"/>
    <w:rsid w:val="00625C1E"/>
    <w:rsid w:val="00626431"/>
    <w:rsid w:val="006266C0"/>
    <w:rsid w:val="00627891"/>
    <w:rsid w:val="006278AD"/>
    <w:rsid w:val="00627FE6"/>
    <w:rsid w:val="006306DD"/>
    <w:rsid w:val="006358F0"/>
    <w:rsid w:val="00637333"/>
    <w:rsid w:val="00637F1B"/>
    <w:rsid w:val="00640C48"/>
    <w:rsid w:val="006415BA"/>
    <w:rsid w:val="006419C5"/>
    <w:rsid w:val="00643883"/>
    <w:rsid w:val="00643AA7"/>
    <w:rsid w:val="00645CC4"/>
    <w:rsid w:val="006505A6"/>
    <w:rsid w:val="00650C7B"/>
    <w:rsid w:val="00651034"/>
    <w:rsid w:val="006521CF"/>
    <w:rsid w:val="00652B06"/>
    <w:rsid w:val="00652EA4"/>
    <w:rsid w:val="00653D82"/>
    <w:rsid w:val="00654369"/>
    <w:rsid w:val="00655B7D"/>
    <w:rsid w:val="00660245"/>
    <w:rsid w:val="0066044A"/>
    <w:rsid w:val="00660B4F"/>
    <w:rsid w:val="006611CF"/>
    <w:rsid w:val="0066147D"/>
    <w:rsid w:val="00661F43"/>
    <w:rsid w:val="006633E6"/>
    <w:rsid w:val="00663923"/>
    <w:rsid w:val="00663A2C"/>
    <w:rsid w:val="00664C92"/>
    <w:rsid w:val="00665D02"/>
    <w:rsid w:val="006677CF"/>
    <w:rsid w:val="00667C9F"/>
    <w:rsid w:val="00671817"/>
    <w:rsid w:val="00672302"/>
    <w:rsid w:val="006726FC"/>
    <w:rsid w:val="00674454"/>
    <w:rsid w:val="00675887"/>
    <w:rsid w:val="00675A39"/>
    <w:rsid w:val="006761DB"/>
    <w:rsid w:val="00680CFF"/>
    <w:rsid w:val="0068688F"/>
    <w:rsid w:val="0068713E"/>
    <w:rsid w:val="00687983"/>
    <w:rsid w:val="006904EC"/>
    <w:rsid w:val="006936FC"/>
    <w:rsid w:val="00693724"/>
    <w:rsid w:val="00694E47"/>
    <w:rsid w:val="0069562A"/>
    <w:rsid w:val="0069605C"/>
    <w:rsid w:val="006961AA"/>
    <w:rsid w:val="0069681D"/>
    <w:rsid w:val="00697089"/>
    <w:rsid w:val="00697890"/>
    <w:rsid w:val="00697912"/>
    <w:rsid w:val="006A076D"/>
    <w:rsid w:val="006A1803"/>
    <w:rsid w:val="006A4699"/>
    <w:rsid w:val="006A787B"/>
    <w:rsid w:val="006A7D6F"/>
    <w:rsid w:val="006A7E39"/>
    <w:rsid w:val="006B0540"/>
    <w:rsid w:val="006B1067"/>
    <w:rsid w:val="006B2E8B"/>
    <w:rsid w:val="006B2F78"/>
    <w:rsid w:val="006B37BC"/>
    <w:rsid w:val="006B4C0E"/>
    <w:rsid w:val="006B60C8"/>
    <w:rsid w:val="006B7F20"/>
    <w:rsid w:val="006C0EB7"/>
    <w:rsid w:val="006C0F28"/>
    <w:rsid w:val="006C156B"/>
    <w:rsid w:val="006C16B7"/>
    <w:rsid w:val="006C1747"/>
    <w:rsid w:val="006C2536"/>
    <w:rsid w:val="006C361D"/>
    <w:rsid w:val="006C3EB3"/>
    <w:rsid w:val="006C5A55"/>
    <w:rsid w:val="006C5B2C"/>
    <w:rsid w:val="006C619A"/>
    <w:rsid w:val="006D14A4"/>
    <w:rsid w:val="006D1D58"/>
    <w:rsid w:val="006D3EBE"/>
    <w:rsid w:val="006D4B8D"/>
    <w:rsid w:val="006D57B6"/>
    <w:rsid w:val="006D72E0"/>
    <w:rsid w:val="006E0584"/>
    <w:rsid w:val="006E1E75"/>
    <w:rsid w:val="006E2591"/>
    <w:rsid w:val="006E36C7"/>
    <w:rsid w:val="006E4540"/>
    <w:rsid w:val="006E5DAF"/>
    <w:rsid w:val="006F1915"/>
    <w:rsid w:val="006F1DA8"/>
    <w:rsid w:val="006F21A3"/>
    <w:rsid w:val="006F279A"/>
    <w:rsid w:val="006F375C"/>
    <w:rsid w:val="006F3A63"/>
    <w:rsid w:val="006F3CDA"/>
    <w:rsid w:val="006F5450"/>
    <w:rsid w:val="006F648B"/>
    <w:rsid w:val="006F7AE6"/>
    <w:rsid w:val="00700C57"/>
    <w:rsid w:val="00701A65"/>
    <w:rsid w:val="00701A80"/>
    <w:rsid w:val="00702F35"/>
    <w:rsid w:val="00703CEC"/>
    <w:rsid w:val="007043A0"/>
    <w:rsid w:val="00705B16"/>
    <w:rsid w:val="007067C0"/>
    <w:rsid w:val="007101F9"/>
    <w:rsid w:val="00710905"/>
    <w:rsid w:val="00710921"/>
    <w:rsid w:val="007118B3"/>
    <w:rsid w:val="00711E4F"/>
    <w:rsid w:val="007126C7"/>
    <w:rsid w:val="00713D71"/>
    <w:rsid w:val="0071609F"/>
    <w:rsid w:val="00716189"/>
    <w:rsid w:val="00716254"/>
    <w:rsid w:val="00716829"/>
    <w:rsid w:val="00717EE5"/>
    <w:rsid w:val="00720C10"/>
    <w:rsid w:val="00720E5E"/>
    <w:rsid w:val="0072198B"/>
    <w:rsid w:val="00722C4E"/>
    <w:rsid w:val="00726324"/>
    <w:rsid w:val="00727232"/>
    <w:rsid w:val="007275A3"/>
    <w:rsid w:val="00731144"/>
    <w:rsid w:val="007317B1"/>
    <w:rsid w:val="00733030"/>
    <w:rsid w:val="007344C8"/>
    <w:rsid w:val="00734721"/>
    <w:rsid w:val="007358DF"/>
    <w:rsid w:val="00736DF7"/>
    <w:rsid w:val="0073710E"/>
    <w:rsid w:val="00737297"/>
    <w:rsid w:val="007404B7"/>
    <w:rsid w:val="00740DAD"/>
    <w:rsid w:val="0074533A"/>
    <w:rsid w:val="00745FC1"/>
    <w:rsid w:val="007465F0"/>
    <w:rsid w:val="00746EF9"/>
    <w:rsid w:val="00747371"/>
    <w:rsid w:val="00747534"/>
    <w:rsid w:val="0075085E"/>
    <w:rsid w:val="00751C3D"/>
    <w:rsid w:val="007565A1"/>
    <w:rsid w:val="00757DFB"/>
    <w:rsid w:val="00757FF2"/>
    <w:rsid w:val="00760622"/>
    <w:rsid w:val="0076191A"/>
    <w:rsid w:val="00762C3A"/>
    <w:rsid w:val="00762EB7"/>
    <w:rsid w:val="00763032"/>
    <w:rsid w:val="007656C0"/>
    <w:rsid w:val="007664CC"/>
    <w:rsid w:val="00766720"/>
    <w:rsid w:val="00771079"/>
    <w:rsid w:val="00773303"/>
    <w:rsid w:val="0077500A"/>
    <w:rsid w:val="00776750"/>
    <w:rsid w:val="00780090"/>
    <w:rsid w:val="0078333F"/>
    <w:rsid w:val="007835E7"/>
    <w:rsid w:val="00784276"/>
    <w:rsid w:val="007848F1"/>
    <w:rsid w:val="00786100"/>
    <w:rsid w:val="0078675F"/>
    <w:rsid w:val="00791523"/>
    <w:rsid w:val="00794F2D"/>
    <w:rsid w:val="00795476"/>
    <w:rsid w:val="00796F50"/>
    <w:rsid w:val="00797622"/>
    <w:rsid w:val="00797F2D"/>
    <w:rsid w:val="007A255C"/>
    <w:rsid w:val="007A3482"/>
    <w:rsid w:val="007B192D"/>
    <w:rsid w:val="007B487E"/>
    <w:rsid w:val="007B5E06"/>
    <w:rsid w:val="007B70AF"/>
    <w:rsid w:val="007C04E4"/>
    <w:rsid w:val="007C11C7"/>
    <w:rsid w:val="007C25A9"/>
    <w:rsid w:val="007C2D1A"/>
    <w:rsid w:val="007C3971"/>
    <w:rsid w:val="007C5C83"/>
    <w:rsid w:val="007D25A7"/>
    <w:rsid w:val="007D2DD2"/>
    <w:rsid w:val="007D4726"/>
    <w:rsid w:val="007D59D0"/>
    <w:rsid w:val="007D6016"/>
    <w:rsid w:val="007D7BE2"/>
    <w:rsid w:val="007E1B85"/>
    <w:rsid w:val="007E2C9D"/>
    <w:rsid w:val="007E5B6E"/>
    <w:rsid w:val="007E6124"/>
    <w:rsid w:val="007E646D"/>
    <w:rsid w:val="007E6F1D"/>
    <w:rsid w:val="007E79E3"/>
    <w:rsid w:val="007F0600"/>
    <w:rsid w:val="007F18E2"/>
    <w:rsid w:val="007F20C6"/>
    <w:rsid w:val="007F27D9"/>
    <w:rsid w:val="007F2EE3"/>
    <w:rsid w:val="007F37A6"/>
    <w:rsid w:val="007F3F86"/>
    <w:rsid w:val="007F43A7"/>
    <w:rsid w:val="007F7910"/>
    <w:rsid w:val="007F7EF6"/>
    <w:rsid w:val="007F7F35"/>
    <w:rsid w:val="008041DE"/>
    <w:rsid w:val="008069B5"/>
    <w:rsid w:val="00806ECC"/>
    <w:rsid w:val="00807A22"/>
    <w:rsid w:val="008111BE"/>
    <w:rsid w:val="008123B2"/>
    <w:rsid w:val="00812EC4"/>
    <w:rsid w:val="00813C8F"/>
    <w:rsid w:val="008150B9"/>
    <w:rsid w:val="00815CA9"/>
    <w:rsid w:val="00822219"/>
    <w:rsid w:val="00823713"/>
    <w:rsid w:val="00824230"/>
    <w:rsid w:val="00826D4B"/>
    <w:rsid w:val="00830E28"/>
    <w:rsid w:val="008336C2"/>
    <w:rsid w:val="00833A11"/>
    <w:rsid w:val="00834767"/>
    <w:rsid w:val="0083797D"/>
    <w:rsid w:val="00837C18"/>
    <w:rsid w:val="008425E4"/>
    <w:rsid w:val="00843B69"/>
    <w:rsid w:val="008462ED"/>
    <w:rsid w:val="008463ED"/>
    <w:rsid w:val="008471E6"/>
    <w:rsid w:val="008477DC"/>
    <w:rsid w:val="00847C62"/>
    <w:rsid w:val="008504CF"/>
    <w:rsid w:val="00850F65"/>
    <w:rsid w:val="00853086"/>
    <w:rsid w:val="00855F16"/>
    <w:rsid w:val="00856CFA"/>
    <w:rsid w:val="00856DC1"/>
    <w:rsid w:val="0086162D"/>
    <w:rsid w:val="008623D5"/>
    <w:rsid w:val="00862662"/>
    <w:rsid w:val="008627C3"/>
    <w:rsid w:val="00866CAA"/>
    <w:rsid w:val="00866F4D"/>
    <w:rsid w:val="00867003"/>
    <w:rsid w:val="00867426"/>
    <w:rsid w:val="00870A99"/>
    <w:rsid w:val="00871494"/>
    <w:rsid w:val="008722F3"/>
    <w:rsid w:val="00872D26"/>
    <w:rsid w:val="00873353"/>
    <w:rsid w:val="008757D0"/>
    <w:rsid w:val="0087607C"/>
    <w:rsid w:val="00877046"/>
    <w:rsid w:val="008800F8"/>
    <w:rsid w:val="00880413"/>
    <w:rsid w:val="00881077"/>
    <w:rsid w:val="00884277"/>
    <w:rsid w:val="0088431D"/>
    <w:rsid w:val="008862C0"/>
    <w:rsid w:val="00890A7A"/>
    <w:rsid w:val="00891067"/>
    <w:rsid w:val="00891070"/>
    <w:rsid w:val="00891580"/>
    <w:rsid w:val="008927E6"/>
    <w:rsid w:val="00894081"/>
    <w:rsid w:val="008940CD"/>
    <w:rsid w:val="008952B6"/>
    <w:rsid w:val="00895D5E"/>
    <w:rsid w:val="0089630F"/>
    <w:rsid w:val="00896365"/>
    <w:rsid w:val="008970AC"/>
    <w:rsid w:val="00897CD2"/>
    <w:rsid w:val="008A0886"/>
    <w:rsid w:val="008A0BE0"/>
    <w:rsid w:val="008A1804"/>
    <w:rsid w:val="008A505D"/>
    <w:rsid w:val="008A5C22"/>
    <w:rsid w:val="008A69D1"/>
    <w:rsid w:val="008A74C3"/>
    <w:rsid w:val="008B04F4"/>
    <w:rsid w:val="008B7C44"/>
    <w:rsid w:val="008C04BD"/>
    <w:rsid w:val="008C527B"/>
    <w:rsid w:val="008C5AD3"/>
    <w:rsid w:val="008C6684"/>
    <w:rsid w:val="008C6C6D"/>
    <w:rsid w:val="008C7D16"/>
    <w:rsid w:val="008D16E0"/>
    <w:rsid w:val="008D2E2A"/>
    <w:rsid w:val="008D341A"/>
    <w:rsid w:val="008D56E7"/>
    <w:rsid w:val="008D7024"/>
    <w:rsid w:val="008E166F"/>
    <w:rsid w:val="008E216D"/>
    <w:rsid w:val="008E29E6"/>
    <w:rsid w:val="008E3006"/>
    <w:rsid w:val="008E5399"/>
    <w:rsid w:val="008E5E9C"/>
    <w:rsid w:val="008E73D0"/>
    <w:rsid w:val="008F030C"/>
    <w:rsid w:val="008F1AF9"/>
    <w:rsid w:val="008F2395"/>
    <w:rsid w:val="008F3EE7"/>
    <w:rsid w:val="008F4372"/>
    <w:rsid w:val="008F43F3"/>
    <w:rsid w:val="008F46BD"/>
    <w:rsid w:val="008F537D"/>
    <w:rsid w:val="008F6900"/>
    <w:rsid w:val="008F6D77"/>
    <w:rsid w:val="008F7E8C"/>
    <w:rsid w:val="009005F2"/>
    <w:rsid w:val="009023BF"/>
    <w:rsid w:val="00902F7B"/>
    <w:rsid w:val="00903AC7"/>
    <w:rsid w:val="00903E7E"/>
    <w:rsid w:val="009045F5"/>
    <w:rsid w:val="00905201"/>
    <w:rsid w:val="00905297"/>
    <w:rsid w:val="00910E94"/>
    <w:rsid w:val="00911394"/>
    <w:rsid w:val="00911614"/>
    <w:rsid w:val="00911F98"/>
    <w:rsid w:val="009124F4"/>
    <w:rsid w:val="00913898"/>
    <w:rsid w:val="0091394D"/>
    <w:rsid w:val="0091433E"/>
    <w:rsid w:val="00914A30"/>
    <w:rsid w:val="00915372"/>
    <w:rsid w:val="0091622A"/>
    <w:rsid w:val="00916E90"/>
    <w:rsid w:val="00916F4C"/>
    <w:rsid w:val="00921369"/>
    <w:rsid w:val="0092193E"/>
    <w:rsid w:val="009221A2"/>
    <w:rsid w:val="00925666"/>
    <w:rsid w:val="0092614F"/>
    <w:rsid w:val="0093097E"/>
    <w:rsid w:val="009322B9"/>
    <w:rsid w:val="009326DA"/>
    <w:rsid w:val="009328D0"/>
    <w:rsid w:val="00932B93"/>
    <w:rsid w:val="00937AED"/>
    <w:rsid w:val="00937DAD"/>
    <w:rsid w:val="00941B12"/>
    <w:rsid w:val="00944864"/>
    <w:rsid w:val="00944D05"/>
    <w:rsid w:val="00945636"/>
    <w:rsid w:val="00946008"/>
    <w:rsid w:val="00946539"/>
    <w:rsid w:val="0094700A"/>
    <w:rsid w:val="009500F0"/>
    <w:rsid w:val="0095015B"/>
    <w:rsid w:val="00951DFA"/>
    <w:rsid w:val="0095377D"/>
    <w:rsid w:val="0095445B"/>
    <w:rsid w:val="00957974"/>
    <w:rsid w:val="00957EF7"/>
    <w:rsid w:val="00960249"/>
    <w:rsid w:val="00961F53"/>
    <w:rsid w:val="009630C0"/>
    <w:rsid w:val="009669A7"/>
    <w:rsid w:val="00967A7F"/>
    <w:rsid w:val="00971201"/>
    <w:rsid w:val="009713A8"/>
    <w:rsid w:val="00972ED3"/>
    <w:rsid w:val="009733B5"/>
    <w:rsid w:val="0097558D"/>
    <w:rsid w:val="0097639F"/>
    <w:rsid w:val="00976683"/>
    <w:rsid w:val="009774AC"/>
    <w:rsid w:val="009835CF"/>
    <w:rsid w:val="0098441D"/>
    <w:rsid w:val="009906FE"/>
    <w:rsid w:val="00992177"/>
    <w:rsid w:val="00992414"/>
    <w:rsid w:val="009937FD"/>
    <w:rsid w:val="009942D5"/>
    <w:rsid w:val="0099456C"/>
    <w:rsid w:val="00994639"/>
    <w:rsid w:val="009947E5"/>
    <w:rsid w:val="00995B38"/>
    <w:rsid w:val="0099692D"/>
    <w:rsid w:val="009A1687"/>
    <w:rsid w:val="009A22AD"/>
    <w:rsid w:val="009A2D91"/>
    <w:rsid w:val="009A32F8"/>
    <w:rsid w:val="009A468C"/>
    <w:rsid w:val="009A4CF2"/>
    <w:rsid w:val="009A5381"/>
    <w:rsid w:val="009A6710"/>
    <w:rsid w:val="009B11BE"/>
    <w:rsid w:val="009B15B9"/>
    <w:rsid w:val="009B1F33"/>
    <w:rsid w:val="009B1FCA"/>
    <w:rsid w:val="009B2CC2"/>
    <w:rsid w:val="009B4FA4"/>
    <w:rsid w:val="009B6AFF"/>
    <w:rsid w:val="009C159B"/>
    <w:rsid w:val="009C25ED"/>
    <w:rsid w:val="009C2907"/>
    <w:rsid w:val="009C2968"/>
    <w:rsid w:val="009C4FF8"/>
    <w:rsid w:val="009C5B6E"/>
    <w:rsid w:val="009C728A"/>
    <w:rsid w:val="009C75BB"/>
    <w:rsid w:val="009D2C4F"/>
    <w:rsid w:val="009D3D9F"/>
    <w:rsid w:val="009D5224"/>
    <w:rsid w:val="009D5B1B"/>
    <w:rsid w:val="009D63F1"/>
    <w:rsid w:val="009D66AD"/>
    <w:rsid w:val="009D73AE"/>
    <w:rsid w:val="009E0868"/>
    <w:rsid w:val="009E0A32"/>
    <w:rsid w:val="009E0B05"/>
    <w:rsid w:val="009E111D"/>
    <w:rsid w:val="009E1B1C"/>
    <w:rsid w:val="009E2995"/>
    <w:rsid w:val="009E4339"/>
    <w:rsid w:val="009E5310"/>
    <w:rsid w:val="009E5445"/>
    <w:rsid w:val="009E56C4"/>
    <w:rsid w:val="009E65A2"/>
    <w:rsid w:val="009E7036"/>
    <w:rsid w:val="009F0509"/>
    <w:rsid w:val="009F08AD"/>
    <w:rsid w:val="009F1E01"/>
    <w:rsid w:val="009F2297"/>
    <w:rsid w:val="009F27ED"/>
    <w:rsid w:val="009F33B2"/>
    <w:rsid w:val="009F6EC6"/>
    <w:rsid w:val="00A041B3"/>
    <w:rsid w:val="00A05120"/>
    <w:rsid w:val="00A14718"/>
    <w:rsid w:val="00A1542B"/>
    <w:rsid w:val="00A1701F"/>
    <w:rsid w:val="00A17C57"/>
    <w:rsid w:val="00A17CD6"/>
    <w:rsid w:val="00A21B30"/>
    <w:rsid w:val="00A23CB6"/>
    <w:rsid w:val="00A24FA7"/>
    <w:rsid w:val="00A2566D"/>
    <w:rsid w:val="00A313D2"/>
    <w:rsid w:val="00A32300"/>
    <w:rsid w:val="00A32631"/>
    <w:rsid w:val="00A3739F"/>
    <w:rsid w:val="00A405D1"/>
    <w:rsid w:val="00A455A1"/>
    <w:rsid w:val="00A45A5D"/>
    <w:rsid w:val="00A45F21"/>
    <w:rsid w:val="00A466F8"/>
    <w:rsid w:val="00A50A72"/>
    <w:rsid w:val="00A50CD7"/>
    <w:rsid w:val="00A50FE7"/>
    <w:rsid w:val="00A510B9"/>
    <w:rsid w:val="00A5144D"/>
    <w:rsid w:val="00A52D9F"/>
    <w:rsid w:val="00A5319E"/>
    <w:rsid w:val="00A537C9"/>
    <w:rsid w:val="00A53D48"/>
    <w:rsid w:val="00A53F52"/>
    <w:rsid w:val="00A55064"/>
    <w:rsid w:val="00A55EBA"/>
    <w:rsid w:val="00A56339"/>
    <w:rsid w:val="00A57C32"/>
    <w:rsid w:val="00A60565"/>
    <w:rsid w:val="00A61164"/>
    <w:rsid w:val="00A627AE"/>
    <w:rsid w:val="00A65611"/>
    <w:rsid w:val="00A65E69"/>
    <w:rsid w:val="00A6774E"/>
    <w:rsid w:val="00A72E1A"/>
    <w:rsid w:val="00A74614"/>
    <w:rsid w:val="00A76C43"/>
    <w:rsid w:val="00A83659"/>
    <w:rsid w:val="00A85BCA"/>
    <w:rsid w:val="00A86238"/>
    <w:rsid w:val="00A86280"/>
    <w:rsid w:val="00A862C3"/>
    <w:rsid w:val="00A868C7"/>
    <w:rsid w:val="00A86B0B"/>
    <w:rsid w:val="00A86E5F"/>
    <w:rsid w:val="00A86EF4"/>
    <w:rsid w:val="00A87C23"/>
    <w:rsid w:val="00A90D1E"/>
    <w:rsid w:val="00A90F42"/>
    <w:rsid w:val="00A91741"/>
    <w:rsid w:val="00A93357"/>
    <w:rsid w:val="00A96C4E"/>
    <w:rsid w:val="00A978F9"/>
    <w:rsid w:val="00A97F5B"/>
    <w:rsid w:val="00AA465B"/>
    <w:rsid w:val="00AA4965"/>
    <w:rsid w:val="00AA4CA7"/>
    <w:rsid w:val="00AA4FEA"/>
    <w:rsid w:val="00AA578B"/>
    <w:rsid w:val="00AA59C7"/>
    <w:rsid w:val="00AA6D43"/>
    <w:rsid w:val="00AB1DEE"/>
    <w:rsid w:val="00AB3A11"/>
    <w:rsid w:val="00AB5B30"/>
    <w:rsid w:val="00AC1327"/>
    <w:rsid w:val="00AC2218"/>
    <w:rsid w:val="00AC22D8"/>
    <w:rsid w:val="00AC461C"/>
    <w:rsid w:val="00AC5714"/>
    <w:rsid w:val="00AC5A00"/>
    <w:rsid w:val="00AC7474"/>
    <w:rsid w:val="00AD025C"/>
    <w:rsid w:val="00AD0588"/>
    <w:rsid w:val="00AD05F4"/>
    <w:rsid w:val="00AD204F"/>
    <w:rsid w:val="00AD2E0D"/>
    <w:rsid w:val="00AD3039"/>
    <w:rsid w:val="00AD4E5D"/>
    <w:rsid w:val="00AD4E97"/>
    <w:rsid w:val="00AD6B51"/>
    <w:rsid w:val="00AD6EAA"/>
    <w:rsid w:val="00AD7677"/>
    <w:rsid w:val="00AE0199"/>
    <w:rsid w:val="00AE0474"/>
    <w:rsid w:val="00AE221B"/>
    <w:rsid w:val="00AE4C35"/>
    <w:rsid w:val="00AE6BE0"/>
    <w:rsid w:val="00AE7381"/>
    <w:rsid w:val="00AF0209"/>
    <w:rsid w:val="00AF1DA4"/>
    <w:rsid w:val="00AF2022"/>
    <w:rsid w:val="00AF2F52"/>
    <w:rsid w:val="00AF3097"/>
    <w:rsid w:val="00AF3241"/>
    <w:rsid w:val="00AF3344"/>
    <w:rsid w:val="00AF521D"/>
    <w:rsid w:val="00AF57BD"/>
    <w:rsid w:val="00AF7584"/>
    <w:rsid w:val="00B00B80"/>
    <w:rsid w:val="00B01218"/>
    <w:rsid w:val="00B01C62"/>
    <w:rsid w:val="00B01F30"/>
    <w:rsid w:val="00B026B3"/>
    <w:rsid w:val="00B033EE"/>
    <w:rsid w:val="00B04315"/>
    <w:rsid w:val="00B04D2F"/>
    <w:rsid w:val="00B073F0"/>
    <w:rsid w:val="00B07428"/>
    <w:rsid w:val="00B07F25"/>
    <w:rsid w:val="00B10035"/>
    <w:rsid w:val="00B124AB"/>
    <w:rsid w:val="00B1322F"/>
    <w:rsid w:val="00B14B5F"/>
    <w:rsid w:val="00B16448"/>
    <w:rsid w:val="00B1707D"/>
    <w:rsid w:val="00B20A87"/>
    <w:rsid w:val="00B21256"/>
    <w:rsid w:val="00B219D6"/>
    <w:rsid w:val="00B21D40"/>
    <w:rsid w:val="00B22205"/>
    <w:rsid w:val="00B23976"/>
    <w:rsid w:val="00B258AF"/>
    <w:rsid w:val="00B25EDA"/>
    <w:rsid w:val="00B26CF6"/>
    <w:rsid w:val="00B30A5E"/>
    <w:rsid w:val="00B331AA"/>
    <w:rsid w:val="00B3450D"/>
    <w:rsid w:val="00B34699"/>
    <w:rsid w:val="00B35E78"/>
    <w:rsid w:val="00B36362"/>
    <w:rsid w:val="00B366D4"/>
    <w:rsid w:val="00B36DAE"/>
    <w:rsid w:val="00B3724A"/>
    <w:rsid w:val="00B411D1"/>
    <w:rsid w:val="00B41CEC"/>
    <w:rsid w:val="00B429A0"/>
    <w:rsid w:val="00B4323C"/>
    <w:rsid w:val="00B445C6"/>
    <w:rsid w:val="00B45D4A"/>
    <w:rsid w:val="00B461E9"/>
    <w:rsid w:val="00B4702E"/>
    <w:rsid w:val="00B47A14"/>
    <w:rsid w:val="00B47B03"/>
    <w:rsid w:val="00B506C3"/>
    <w:rsid w:val="00B50965"/>
    <w:rsid w:val="00B51773"/>
    <w:rsid w:val="00B51800"/>
    <w:rsid w:val="00B52CE9"/>
    <w:rsid w:val="00B54109"/>
    <w:rsid w:val="00B57A06"/>
    <w:rsid w:val="00B60885"/>
    <w:rsid w:val="00B60897"/>
    <w:rsid w:val="00B62413"/>
    <w:rsid w:val="00B64512"/>
    <w:rsid w:val="00B650DD"/>
    <w:rsid w:val="00B66467"/>
    <w:rsid w:val="00B71523"/>
    <w:rsid w:val="00B72564"/>
    <w:rsid w:val="00B74C9A"/>
    <w:rsid w:val="00B773D8"/>
    <w:rsid w:val="00B77B04"/>
    <w:rsid w:val="00B82292"/>
    <w:rsid w:val="00B840B5"/>
    <w:rsid w:val="00B84BB2"/>
    <w:rsid w:val="00B9182B"/>
    <w:rsid w:val="00B9423A"/>
    <w:rsid w:val="00B94F5C"/>
    <w:rsid w:val="00B95347"/>
    <w:rsid w:val="00B95365"/>
    <w:rsid w:val="00B95A22"/>
    <w:rsid w:val="00B96140"/>
    <w:rsid w:val="00B96301"/>
    <w:rsid w:val="00B97490"/>
    <w:rsid w:val="00B97A5A"/>
    <w:rsid w:val="00BA1FC8"/>
    <w:rsid w:val="00BA28DF"/>
    <w:rsid w:val="00BA2BC1"/>
    <w:rsid w:val="00BA32B3"/>
    <w:rsid w:val="00BA3614"/>
    <w:rsid w:val="00BA4CE1"/>
    <w:rsid w:val="00BA758D"/>
    <w:rsid w:val="00BB0957"/>
    <w:rsid w:val="00BB2A81"/>
    <w:rsid w:val="00BB3478"/>
    <w:rsid w:val="00BB3AFB"/>
    <w:rsid w:val="00BB45AA"/>
    <w:rsid w:val="00BB5D48"/>
    <w:rsid w:val="00BB61A3"/>
    <w:rsid w:val="00BC1A5B"/>
    <w:rsid w:val="00BC2022"/>
    <w:rsid w:val="00BC2EC7"/>
    <w:rsid w:val="00BC4DFC"/>
    <w:rsid w:val="00BC7969"/>
    <w:rsid w:val="00BD1909"/>
    <w:rsid w:val="00BD2679"/>
    <w:rsid w:val="00BD4304"/>
    <w:rsid w:val="00BD5BB6"/>
    <w:rsid w:val="00BD5C48"/>
    <w:rsid w:val="00BD75DD"/>
    <w:rsid w:val="00BD76A6"/>
    <w:rsid w:val="00BE17B8"/>
    <w:rsid w:val="00BE1A01"/>
    <w:rsid w:val="00BE36FD"/>
    <w:rsid w:val="00BE3709"/>
    <w:rsid w:val="00BF320E"/>
    <w:rsid w:val="00BF3247"/>
    <w:rsid w:val="00BF386C"/>
    <w:rsid w:val="00BF3B38"/>
    <w:rsid w:val="00BF53FE"/>
    <w:rsid w:val="00BF7A61"/>
    <w:rsid w:val="00C03B9C"/>
    <w:rsid w:val="00C045E1"/>
    <w:rsid w:val="00C04C7E"/>
    <w:rsid w:val="00C05AE6"/>
    <w:rsid w:val="00C05D7D"/>
    <w:rsid w:val="00C05D8C"/>
    <w:rsid w:val="00C10B82"/>
    <w:rsid w:val="00C11321"/>
    <w:rsid w:val="00C11F3A"/>
    <w:rsid w:val="00C12499"/>
    <w:rsid w:val="00C12EBC"/>
    <w:rsid w:val="00C13433"/>
    <w:rsid w:val="00C14A68"/>
    <w:rsid w:val="00C156A9"/>
    <w:rsid w:val="00C202F4"/>
    <w:rsid w:val="00C204AE"/>
    <w:rsid w:val="00C20C90"/>
    <w:rsid w:val="00C21E42"/>
    <w:rsid w:val="00C233C0"/>
    <w:rsid w:val="00C239A1"/>
    <w:rsid w:val="00C23EB5"/>
    <w:rsid w:val="00C2403C"/>
    <w:rsid w:val="00C2425E"/>
    <w:rsid w:val="00C2684E"/>
    <w:rsid w:val="00C27792"/>
    <w:rsid w:val="00C30E96"/>
    <w:rsid w:val="00C310B4"/>
    <w:rsid w:val="00C33D9A"/>
    <w:rsid w:val="00C33E0E"/>
    <w:rsid w:val="00C34A01"/>
    <w:rsid w:val="00C36BF1"/>
    <w:rsid w:val="00C375D8"/>
    <w:rsid w:val="00C37FCB"/>
    <w:rsid w:val="00C411DD"/>
    <w:rsid w:val="00C4257D"/>
    <w:rsid w:val="00C437B4"/>
    <w:rsid w:val="00C44571"/>
    <w:rsid w:val="00C45EE9"/>
    <w:rsid w:val="00C46CE0"/>
    <w:rsid w:val="00C46EA1"/>
    <w:rsid w:val="00C4715F"/>
    <w:rsid w:val="00C506BC"/>
    <w:rsid w:val="00C51BC9"/>
    <w:rsid w:val="00C5285C"/>
    <w:rsid w:val="00C535AC"/>
    <w:rsid w:val="00C54005"/>
    <w:rsid w:val="00C541AD"/>
    <w:rsid w:val="00C55F26"/>
    <w:rsid w:val="00C5694E"/>
    <w:rsid w:val="00C57C45"/>
    <w:rsid w:val="00C60C22"/>
    <w:rsid w:val="00C61A1E"/>
    <w:rsid w:val="00C635FD"/>
    <w:rsid w:val="00C64E6B"/>
    <w:rsid w:val="00C673A1"/>
    <w:rsid w:val="00C67682"/>
    <w:rsid w:val="00C70F4C"/>
    <w:rsid w:val="00C74B6A"/>
    <w:rsid w:val="00C75553"/>
    <w:rsid w:val="00C761EE"/>
    <w:rsid w:val="00C76398"/>
    <w:rsid w:val="00C80A00"/>
    <w:rsid w:val="00C828B3"/>
    <w:rsid w:val="00C854E8"/>
    <w:rsid w:val="00C91DE2"/>
    <w:rsid w:val="00C9287B"/>
    <w:rsid w:val="00C93D4C"/>
    <w:rsid w:val="00C94301"/>
    <w:rsid w:val="00C94EC3"/>
    <w:rsid w:val="00C956C2"/>
    <w:rsid w:val="00CA01DF"/>
    <w:rsid w:val="00CA028B"/>
    <w:rsid w:val="00CA0EB1"/>
    <w:rsid w:val="00CA158E"/>
    <w:rsid w:val="00CA19B2"/>
    <w:rsid w:val="00CA1FFD"/>
    <w:rsid w:val="00CA2BB8"/>
    <w:rsid w:val="00CA41C6"/>
    <w:rsid w:val="00CA426D"/>
    <w:rsid w:val="00CA546F"/>
    <w:rsid w:val="00CA5F66"/>
    <w:rsid w:val="00CA7685"/>
    <w:rsid w:val="00CB080B"/>
    <w:rsid w:val="00CB2380"/>
    <w:rsid w:val="00CB441D"/>
    <w:rsid w:val="00CB6699"/>
    <w:rsid w:val="00CB6F56"/>
    <w:rsid w:val="00CB77FE"/>
    <w:rsid w:val="00CC2A16"/>
    <w:rsid w:val="00CC2B4E"/>
    <w:rsid w:val="00CC3156"/>
    <w:rsid w:val="00CC3505"/>
    <w:rsid w:val="00CC703A"/>
    <w:rsid w:val="00CC71D2"/>
    <w:rsid w:val="00CD01BF"/>
    <w:rsid w:val="00CD06E0"/>
    <w:rsid w:val="00CD0C49"/>
    <w:rsid w:val="00CD1513"/>
    <w:rsid w:val="00CD170D"/>
    <w:rsid w:val="00CD2BCE"/>
    <w:rsid w:val="00CD4AF2"/>
    <w:rsid w:val="00CD4FAD"/>
    <w:rsid w:val="00CD5906"/>
    <w:rsid w:val="00CD5DE2"/>
    <w:rsid w:val="00CD6913"/>
    <w:rsid w:val="00CE0C40"/>
    <w:rsid w:val="00CE146C"/>
    <w:rsid w:val="00CE153B"/>
    <w:rsid w:val="00CE2163"/>
    <w:rsid w:val="00CE258E"/>
    <w:rsid w:val="00CE40BA"/>
    <w:rsid w:val="00CE4948"/>
    <w:rsid w:val="00CE58AB"/>
    <w:rsid w:val="00CE5F05"/>
    <w:rsid w:val="00CE68FD"/>
    <w:rsid w:val="00CE6B4E"/>
    <w:rsid w:val="00CE6FEC"/>
    <w:rsid w:val="00CE7827"/>
    <w:rsid w:val="00CE7C24"/>
    <w:rsid w:val="00CF02BC"/>
    <w:rsid w:val="00CF163A"/>
    <w:rsid w:val="00CF37D2"/>
    <w:rsid w:val="00CF4DA3"/>
    <w:rsid w:val="00CF56DA"/>
    <w:rsid w:val="00CF5AEC"/>
    <w:rsid w:val="00CF6BD9"/>
    <w:rsid w:val="00CF7226"/>
    <w:rsid w:val="00CF72C1"/>
    <w:rsid w:val="00CF78EC"/>
    <w:rsid w:val="00D002DC"/>
    <w:rsid w:val="00D0099C"/>
    <w:rsid w:val="00D01336"/>
    <w:rsid w:val="00D02CA9"/>
    <w:rsid w:val="00D0390C"/>
    <w:rsid w:val="00D04AA3"/>
    <w:rsid w:val="00D0704B"/>
    <w:rsid w:val="00D13B2C"/>
    <w:rsid w:val="00D221EA"/>
    <w:rsid w:val="00D2382A"/>
    <w:rsid w:val="00D24407"/>
    <w:rsid w:val="00D24573"/>
    <w:rsid w:val="00D25232"/>
    <w:rsid w:val="00D2756F"/>
    <w:rsid w:val="00D305FD"/>
    <w:rsid w:val="00D30C3B"/>
    <w:rsid w:val="00D318A5"/>
    <w:rsid w:val="00D3292F"/>
    <w:rsid w:val="00D35973"/>
    <w:rsid w:val="00D362A4"/>
    <w:rsid w:val="00D36389"/>
    <w:rsid w:val="00D368C3"/>
    <w:rsid w:val="00D3690E"/>
    <w:rsid w:val="00D3701E"/>
    <w:rsid w:val="00D37743"/>
    <w:rsid w:val="00D4084E"/>
    <w:rsid w:val="00D414FB"/>
    <w:rsid w:val="00D4275C"/>
    <w:rsid w:val="00D432F2"/>
    <w:rsid w:val="00D436F8"/>
    <w:rsid w:val="00D44EFC"/>
    <w:rsid w:val="00D45377"/>
    <w:rsid w:val="00D46D7B"/>
    <w:rsid w:val="00D515C8"/>
    <w:rsid w:val="00D51EF6"/>
    <w:rsid w:val="00D52928"/>
    <w:rsid w:val="00D54496"/>
    <w:rsid w:val="00D547AD"/>
    <w:rsid w:val="00D55536"/>
    <w:rsid w:val="00D55FD8"/>
    <w:rsid w:val="00D6039F"/>
    <w:rsid w:val="00D60872"/>
    <w:rsid w:val="00D61B08"/>
    <w:rsid w:val="00D63096"/>
    <w:rsid w:val="00D640CD"/>
    <w:rsid w:val="00D6443C"/>
    <w:rsid w:val="00D64479"/>
    <w:rsid w:val="00D64823"/>
    <w:rsid w:val="00D71D29"/>
    <w:rsid w:val="00D73DCB"/>
    <w:rsid w:val="00D7532C"/>
    <w:rsid w:val="00D7595C"/>
    <w:rsid w:val="00D75E11"/>
    <w:rsid w:val="00D770AB"/>
    <w:rsid w:val="00D81B52"/>
    <w:rsid w:val="00D8300A"/>
    <w:rsid w:val="00D830CA"/>
    <w:rsid w:val="00D843C8"/>
    <w:rsid w:val="00D84A68"/>
    <w:rsid w:val="00D85780"/>
    <w:rsid w:val="00D864F3"/>
    <w:rsid w:val="00D86E6B"/>
    <w:rsid w:val="00D870F0"/>
    <w:rsid w:val="00D90337"/>
    <w:rsid w:val="00D90CB2"/>
    <w:rsid w:val="00D90F1F"/>
    <w:rsid w:val="00D9184C"/>
    <w:rsid w:val="00D91A00"/>
    <w:rsid w:val="00D92972"/>
    <w:rsid w:val="00D94323"/>
    <w:rsid w:val="00D96031"/>
    <w:rsid w:val="00DA0CEA"/>
    <w:rsid w:val="00DA1204"/>
    <w:rsid w:val="00DA3045"/>
    <w:rsid w:val="00DA3C87"/>
    <w:rsid w:val="00DA5ADB"/>
    <w:rsid w:val="00DB02DB"/>
    <w:rsid w:val="00DB06A9"/>
    <w:rsid w:val="00DB08C8"/>
    <w:rsid w:val="00DB0A18"/>
    <w:rsid w:val="00DB0ABB"/>
    <w:rsid w:val="00DB1CB9"/>
    <w:rsid w:val="00DB359B"/>
    <w:rsid w:val="00DB43DC"/>
    <w:rsid w:val="00DB443B"/>
    <w:rsid w:val="00DB6005"/>
    <w:rsid w:val="00DB7C7A"/>
    <w:rsid w:val="00DC0B06"/>
    <w:rsid w:val="00DC1476"/>
    <w:rsid w:val="00DC1C69"/>
    <w:rsid w:val="00DC368E"/>
    <w:rsid w:val="00DC5D81"/>
    <w:rsid w:val="00DC68F8"/>
    <w:rsid w:val="00DD0033"/>
    <w:rsid w:val="00DD15E6"/>
    <w:rsid w:val="00DD3F36"/>
    <w:rsid w:val="00DD703F"/>
    <w:rsid w:val="00DD7101"/>
    <w:rsid w:val="00DE022D"/>
    <w:rsid w:val="00DE0ECE"/>
    <w:rsid w:val="00DE2FB8"/>
    <w:rsid w:val="00DE3AD4"/>
    <w:rsid w:val="00DE4958"/>
    <w:rsid w:val="00DE6B76"/>
    <w:rsid w:val="00DE7902"/>
    <w:rsid w:val="00DF0B71"/>
    <w:rsid w:val="00DF0C7C"/>
    <w:rsid w:val="00DF4014"/>
    <w:rsid w:val="00DF5138"/>
    <w:rsid w:val="00DF5456"/>
    <w:rsid w:val="00DF6416"/>
    <w:rsid w:val="00DF698A"/>
    <w:rsid w:val="00DF71C8"/>
    <w:rsid w:val="00E02849"/>
    <w:rsid w:val="00E03231"/>
    <w:rsid w:val="00E035E3"/>
    <w:rsid w:val="00E03DB6"/>
    <w:rsid w:val="00E05B80"/>
    <w:rsid w:val="00E1265F"/>
    <w:rsid w:val="00E162CD"/>
    <w:rsid w:val="00E16FDF"/>
    <w:rsid w:val="00E21160"/>
    <w:rsid w:val="00E2127F"/>
    <w:rsid w:val="00E240BD"/>
    <w:rsid w:val="00E25E18"/>
    <w:rsid w:val="00E26D77"/>
    <w:rsid w:val="00E31344"/>
    <w:rsid w:val="00E31581"/>
    <w:rsid w:val="00E3210A"/>
    <w:rsid w:val="00E334E4"/>
    <w:rsid w:val="00E34136"/>
    <w:rsid w:val="00E344CA"/>
    <w:rsid w:val="00E36787"/>
    <w:rsid w:val="00E36C56"/>
    <w:rsid w:val="00E37FCB"/>
    <w:rsid w:val="00E40C91"/>
    <w:rsid w:val="00E41631"/>
    <w:rsid w:val="00E4167D"/>
    <w:rsid w:val="00E41D8D"/>
    <w:rsid w:val="00E41DF6"/>
    <w:rsid w:val="00E41EEF"/>
    <w:rsid w:val="00E42678"/>
    <w:rsid w:val="00E4354E"/>
    <w:rsid w:val="00E43E43"/>
    <w:rsid w:val="00E43ED5"/>
    <w:rsid w:val="00E440C5"/>
    <w:rsid w:val="00E4486A"/>
    <w:rsid w:val="00E448D6"/>
    <w:rsid w:val="00E45BF4"/>
    <w:rsid w:val="00E4748E"/>
    <w:rsid w:val="00E47BA1"/>
    <w:rsid w:val="00E50F51"/>
    <w:rsid w:val="00E561C9"/>
    <w:rsid w:val="00E570F7"/>
    <w:rsid w:val="00E57CE1"/>
    <w:rsid w:val="00E61671"/>
    <w:rsid w:val="00E62F99"/>
    <w:rsid w:val="00E642FD"/>
    <w:rsid w:val="00E64FCA"/>
    <w:rsid w:val="00E6612D"/>
    <w:rsid w:val="00E6713E"/>
    <w:rsid w:val="00E70097"/>
    <w:rsid w:val="00E71618"/>
    <w:rsid w:val="00E734E1"/>
    <w:rsid w:val="00E73B48"/>
    <w:rsid w:val="00E73FC9"/>
    <w:rsid w:val="00E76289"/>
    <w:rsid w:val="00E8003A"/>
    <w:rsid w:val="00E80F2F"/>
    <w:rsid w:val="00E853B1"/>
    <w:rsid w:val="00E85B2E"/>
    <w:rsid w:val="00E86537"/>
    <w:rsid w:val="00E866F3"/>
    <w:rsid w:val="00E910E8"/>
    <w:rsid w:val="00E91D1E"/>
    <w:rsid w:val="00E930A6"/>
    <w:rsid w:val="00E933AA"/>
    <w:rsid w:val="00E95ABE"/>
    <w:rsid w:val="00E95B32"/>
    <w:rsid w:val="00E95FE0"/>
    <w:rsid w:val="00E97B4B"/>
    <w:rsid w:val="00EA271A"/>
    <w:rsid w:val="00EA334A"/>
    <w:rsid w:val="00EA5FF7"/>
    <w:rsid w:val="00EA7C91"/>
    <w:rsid w:val="00EA7E0D"/>
    <w:rsid w:val="00EB13CB"/>
    <w:rsid w:val="00EB2EFA"/>
    <w:rsid w:val="00EC1E59"/>
    <w:rsid w:val="00EC23C2"/>
    <w:rsid w:val="00EC3A8D"/>
    <w:rsid w:val="00EC5C6A"/>
    <w:rsid w:val="00ED092A"/>
    <w:rsid w:val="00ED2AA7"/>
    <w:rsid w:val="00ED3021"/>
    <w:rsid w:val="00ED365F"/>
    <w:rsid w:val="00ED3F6B"/>
    <w:rsid w:val="00ED6143"/>
    <w:rsid w:val="00ED79C9"/>
    <w:rsid w:val="00EE0284"/>
    <w:rsid w:val="00EE11F4"/>
    <w:rsid w:val="00EE181E"/>
    <w:rsid w:val="00EE24BA"/>
    <w:rsid w:val="00EE2964"/>
    <w:rsid w:val="00EE29D8"/>
    <w:rsid w:val="00EE4D88"/>
    <w:rsid w:val="00EE5ADB"/>
    <w:rsid w:val="00EE72DF"/>
    <w:rsid w:val="00EF14B0"/>
    <w:rsid w:val="00EF17C1"/>
    <w:rsid w:val="00EF1BAE"/>
    <w:rsid w:val="00EF1E51"/>
    <w:rsid w:val="00EF1F44"/>
    <w:rsid w:val="00EF22AF"/>
    <w:rsid w:val="00EF24FD"/>
    <w:rsid w:val="00EF2A86"/>
    <w:rsid w:val="00EF3D23"/>
    <w:rsid w:val="00EF60C5"/>
    <w:rsid w:val="00EF7477"/>
    <w:rsid w:val="00F01227"/>
    <w:rsid w:val="00F013C2"/>
    <w:rsid w:val="00F03724"/>
    <w:rsid w:val="00F042D3"/>
    <w:rsid w:val="00F04813"/>
    <w:rsid w:val="00F06369"/>
    <w:rsid w:val="00F0659A"/>
    <w:rsid w:val="00F06B0F"/>
    <w:rsid w:val="00F07314"/>
    <w:rsid w:val="00F074A0"/>
    <w:rsid w:val="00F11464"/>
    <w:rsid w:val="00F114B9"/>
    <w:rsid w:val="00F12836"/>
    <w:rsid w:val="00F144CB"/>
    <w:rsid w:val="00F14521"/>
    <w:rsid w:val="00F14533"/>
    <w:rsid w:val="00F1462F"/>
    <w:rsid w:val="00F15F84"/>
    <w:rsid w:val="00F172DD"/>
    <w:rsid w:val="00F1754F"/>
    <w:rsid w:val="00F20424"/>
    <w:rsid w:val="00F20F0D"/>
    <w:rsid w:val="00F216C0"/>
    <w:rsid w:val="00F22BDF"/>
    <w:rsid w:val="00F2367D"/>
    <w:rsid w:val="00F24583"/>
    <w:rsid w:val="00F254E8"/>
    <w:rsid w:val="00F25F8D"/>
    <w:rsid w:val="00F26434"/>
    <w:rsid w:val="00F26C73"/>
    <w:rsid w:val="00F30E08"/>
    <w:rsid w:val="00F3345C"/>
    <w:rsid w:val="00F3407F"/>
    <w:rsid w:val="00F36100"/>
    <w:rsid w:val="00F36A9B"/>
    <w:rsid w:val="00F445B2"/>
    <w:rsid w:val="00F45706"/>
    <w:rsid w:val="00F46E50"/>
    <w:rsid w:val="00F501FF"/>
    <w:rsid w:val="00F51DF9"/>
    <w:rsid w:val="00F52D16"/>
    <w:rsid w:val="00F53E5C"/>
    <w:rsid w:val="00F5472F"/>
    <w:rsid w:val="00F550C1"/>
    <w:rsid w:val="00F55966"/>
    <w:rsid w:val="00F560DD"/>
    <w:rsid w:val="00F56146"/>
    <w:rsid w:val="00F5651E"/>
    <w:rsid w:val="00F5733D"/>
    <w:rsid w:val="00F5740E"/>
    <w:rsid w:val="00F602F4"/>
    <w:rsid w:val="00F60975"/>
    <w:rsid w:val="00F60B45"/>
    <w:rsid w:val="00F624B4"/>
    <w:rsid w:val="00F625DB"/>
    <w:rsid w:val="00F62EE0"/>
    <w:rsid w:val="00F648D6"/>
    <w:rsid w:val="00F659D0"/>
    <w:rsid w:val="00F66A41"/>
    <w:rsid w:val="00F75B1C"/>
    <w:rsid w:val="00F75E19"/>
    <w:rsid w:val="00F760DE"/>
    <w:rsid w:val="00F77FE3"/>
    <w:rsid w:val="00F80DC8"/>
    <w:rsid w:val="00F81109"/>
    <w:rsid w:val="00F82325"/>
    <w:rsid w:val="00F86B9E"/>
    <w:rsid w:val="00F876E9"/>
    <w:rsid w:val="00F87952"/>
    <w:rsid w:val="00F92187"/>
    <w:rsid w:val="00F9316C"/>
    <w:rsid w:val="00F96072"/>
    <w:rsid w:val="00F96AE6"/>
    <w:rsid w:val="00F97297"/>
    <w:rsid w:val="00F975BE"/>
    <w:rsid w:val="00FA139B"/>
    <w:rsid w:val="00FA2C7B"/>
    <w:rsid w:val="00FA3C1B"/>
    <w:rsid w:val="00FA3C82"/>
    <w:rsid w:val="00FA65D5"/>
    <w:rsid w:val="00FB42C3"/>
    <w:rsid w:val="00FB537F"/>
    <w:rsid w:val="00FB6316"/>
    <w:rsid w:val="00FB649C"/>
    <w:rsid w:val="00FB64D4"/>
    <w:rsid w:val="00FB7373"/>
    <w:rsid w:val="00FB740D"/>
    <w:rsid w:val="00FB7CD1"/>
    <w:rsid w:val="00FC117E"/>
    <w:rsid w:val="00FC1E47"/>
    <w:rsid w:val="00FC2842"/>
    <w:rsid w:val="00FC3D44"/>
    <w:rsid w:val="00FC4C09"/>
    <w:rsid w:val="00FC6726"/>
    <w:rsid w:val="00FC6A2D"/>
    <w:rsid w:val="00FD10B8"/>
    <w:rsid w:val="00FD2952"/>
    <w:rsid w:val="00FD4486"/>
    <w:rsid w:val="00FD5F49"/>
    <w:rsid w:val="00FD6FF6"/>
    <w:rsid w:val="00FE1144"/>
    <w:rsid w:val="00FE206E"/>
    <w:rsid w:val="00FE2806"/>
    <w:rsid w:val="00FE3072"/>
    <w:rsid w:val="00FE745E"/>
    <w:rsid w:val="00FE74C8"/>
    <w:rsid w:val="00FE760C"/>
    <w:rsid w:val="00FF0104"/>
    <w:rsid w:val="00FF0929"/>
    <w:rsid w:val="00FF0E1B"/>
    <w:rsid w:val="00FF2AA7"/>
    <w:rsid w:val="00FF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F9"/>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uiPriority w:val="99"/>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paragraph" w:customStyle="1" w:styleId="Normal2">
    <w:name w:val="Normal2"/>
    <w:basedOn w:val="Normal"/>
    <w:rsid w:val="00E36C56"/>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DefaultParagraphFont"/>
    <w:rsid w:val="00E36C56"/>
  </w:style>
  <w:style w:type="paragraph" w:customStyle="1" w:styleId="ti-grseq-1">
    <w:name w:val="ti-grseq-1"/>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Normal3">
    <w:name w:val="Normal3"/>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tbl-txt">
    <w:name w:val="tbl-txt"/>
    <w:basedOn w:val="Normal"/>
    <w:rsid w:val="00D45377"/>
    <w:pPr>
      <w:spacing w:before="100" w:beforeAutospacing="1" w:after="100" w:afterAutospacing="1"/>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432F2"/>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F9"/>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uiPriority w:val="99"/>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paragraph" w:customStyle="1" w:styleId="Normal2">
    <w:name w:val="Normal2"/>
    <w:basedOn w:val="Normal"/>
    <w:rsid w:val="00E36C56"/>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DefaultParagraphFont"/>
    <w:rsid w:val="00E36C56"/>
  </w:style>
  <w:style w:type="paragraph" w:customStyle="1" w:styleId="ti-grseq-1">
    <w:name w:val="ti-grseq-1"/>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Normal3">
    <w:name w:val="Normal3"/>
    <w:basedOn w:val="Normal"/>
    <w:rsid w:val="00837C18"/>
    <w:pPr>
      <w:spacing w:before="100" w:beforeAutospacing="1" w:after="100" w:afterAutospacing="1"/>
    </w:pPr>
    <w:rPr>
      <w:rFonts w:ascii="Times New Roman" w:eastAsia="Times New Roman" w:hAnsi="Times New Roman" w:cs="Times New Roman"/>
      <w:sz w:val="24"/>
      <w:szCs w:val="24"/>
    </w:rPr>
  </w:style>
  <w:style w:type="paragraph" w:customStyle="1" w:styleId="tbl-txt">
    <w:name w:val="tbl-txt"/>
    <w:basedOn w:val="Normal"/>
    <w:rsid w:val="00D45377"/>
    <w:pPr>
      <w:spacing w:before="100" w:beforeAutospacing="1" w:after="100" w:afterAutospacing="1"/>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432F2"/>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99">
      <w:bodyDiv w:val="1"/>
      <w:marLeft w:val="0"/>
      <w:marRight w:val="0"/>
      <w:marTop w:val="0"/>
      <w:marBottom w:val="0"/>
      <w:divBdr>
        <w:top w:val="none" w:sz="0" w:space="0" w:color="auto"/>
        <w:left w:val="none" w:sz="0" w:space="0" w:color="auto"/>
        <w:bottom w:val="none" w:sz="0" w:space="0" w:color="auto"/>
        <w:right w:val="none" w:sz="0" w:space="0" w:color="auto"/>
      </w:divBdr>
    </w:div>
    <w:div w:id="2897952">
      <w:bodyDiv w:val="1"/>
      <w:marLeft w:val="0"/>
      <w:marRight w:val="0"/>
      <w:marTop w:val="0"/>
      <w:marBottom w:val="0"/>
      <w:divBdr>
        <w:top w:val="none" w:sz="0" w:space="0" w:color="auto"/>
        <w:left w:val="none" w:sz="0" w:space="0" w:color="auto"/>
        <w:bottom w:val="none" w:sz="0" w:space="0" w:color="auto"/>
        <w:right w:val="none" w:sz="0" w:space="0" w:color="auto"/>
      </w:divBdr>
    </w:div>
    <w:div w:id="3869924">
      <w:bodyDiv w:val="1"/>
      <w:marLeft w:val="0"/>
      <w:marRight w:val="0"/>
      <w:marTop w:val="0"/>
      <w:marBottom w:val="0"/>
      <w:divBdr>
        <w:top w:val="none" w:sz="0" w:space="0" w:color="auto"/>
        <w:left w:val="none" w:sz="0" w:space="0" w:color="auto"/>
        <w:bottom w:val="none" w:sz="0" w:space="0" w:color="auto"/>
        <w:right w:val="none" w:sz="0" w:space="0" w:color="auto"/>
      </w:divBdr>
    </w:div>
    <w:div w:id="11417777">
      <w:bodyDiv w:val="1"/>
      <w:marLeft w:val="0"/>
      <w:marRight w:val="0"/>
      <w:marTop w:val="0"/>
      <w:marBottom w:val="0"/>
      <w:divBdr>
        <w:top w:val="none" w:sz="0" w:space="0" w:color="auto"/>
        <w:left w:val="none" w:sz="0" w:space="0" w:color="auto"/>
        <w:bottom w:val="none" w:sz="0" w:space="0" w:color="auto"/>
        <w:right w:val="none" w:sz="0" w:space="0" w:color="auto"/>
      </w:divBdr>
    </w:div>
    <w:div w:id="22558061">
      <w:bodyDiv w:val="1"/>
      <w:marLeft w:val="0"/>
      <w:marRight w:val="0"/>
      <w:marTop w:val="0"/>
      <w:marBottom w:val="0"/>
      <w:divBdr>
        <w:top w:val="none" w:sz="0" w:space="0" w:color="auto"/>
        <w:left w:val="none" w:sz="0" w:space="0" w:color="auto"/>
        <w:bottom w:val="none" w:sz="0" w:space="0" w:color="auto"/>
        <w:right w:val="none" w:sz="0" w:space="0" w:color="auto"/>
      </w:divBdr>
    </w:div>
    <w:div w:id="40372027">
      <w:bodyDiv w:val="1"/>
      <w:marLeft w:val="0"/>
      <w:marRight w:val="0"/>
      <w:marTop w:val="0"/>
      <w:marBottom w:val="0"/>
      <w:divBdr>
        <w:top w:val="none" w:sz="0" w:space="0" w:color="auto"/>
        <w:left w:val="none" w:sz="0" w:space="0" w:color="auto"/>
        <w:bottom w:val="none" w:sz="0" w:space="0" w:color="auto"/>
        <w:right w:val="none" w:sz="0" w:space="0" w:color="auto"/>
      </w:divBdr>
      <w:divsChild>
        <w:div w:id="1258444886">
          <w:marLeft w:val="600"/>
          <w:marRight w:val="0"/>
          <w:marTop w:val="0"/>
          <w:marBottom w:val="0"/>
          <w:divBdr>
            <w:top w:val="none" w:sz="0" w:space="0" w:color="auto"/>
            <w:left w:val="none" w:sz="0" w:space="0" w:color="auto"/>
            <w:bottom w:val="none" w:sz="0" w:space="0" w:color="auto"/>
            <w:right w:val="none" w:sz="0" w:space="0" w:color="auto"/>
          </w:divBdr>
        </w:div>
      </w:divsChild>
    </w:div>
    <w:div w:id="45682664">
      <w:bodyDiv w:val="1"/>
      <w:marLeft w:val="0"/>
      <w:marRight w:val="0"/>
      <w:marTop w:val="0"/>
      <w:marBottom w:val="0"/>
      <w:divBdr>
        <w:top w:val="none" w:sz="0" w:space="0" w:color="auto"/>
        <w:left w:val="none" w:sz="0" w:space="0" w:color="auto"/>
        <w:bottom w:val="none" w:sz="0" w:space="0" w:color="auto"/>
        <w:right w:val="none" w:sz="0" w:space="0" w:color="auto"/>
      </w:divBdr>
    </w:div>
    <w:div w:id="55520151">
      <w:bodyDiv w:val="1"/>
      <w:marLeft w:val="0"/>
      <w:marRight w:val="0"/>
      <w:marTop w:val="0"/>
      <w:marBottom w:val="0"/>
      <w:divBdr>
        <w:top w:val="none" w:sz="0" w:space="0" w:color="auto"/>
        <w:left w:val="none" w:sz="0" w:space="0" w:color="auto"/>
        <w:bottom w:val="none" w:sz="0" w:space="0" w:color="auto"/>
        <w:right w:val="none" w:sz="0" w:space="0" w:color="auto"/>
      </w:divBdr>
    </w:div>
    <w:div w:id="61686431">
      <w:bodyDiv w:val="1"/>
      <w:marLeft w:val="0"/>
      <w:marRight w:val="0"/>
      <w:marTop w:val="0"/>
      <w:marBottom w:val="0"/>
      <w:divBdr>
        <w:top w:val="none" w:sz="0" w:space="0" w:color="auto"/>
        <w:left w:val="none" w:sz="0" w:space="0" w:color="auto"/>
        <w:bottom w:val="none" w:sz="0" w:space="0" w:color="auto"/>
        <w:right w:val="none" w:sz="0" w:space="0" w:color="auto"/>
      </w:divBdr>
    </w:div>
    <w:div w:id="63383269">
      <w:bodyDiv w:val="1"/>
      <w:marLeft w:val="0"/>
      <w:marRight w:val="0"/>
      <w:marTop w:val="0"/>
      <w:marBottom w:val="0"/>
      <w:divBdr>
        <w:top w:val="none" w:sz="0" w:space="0" w:color="auto"/>
        <w:left w:val="none" w:sz="0" w:space="0" w:color="auto"/>
        <w:bottom w:val="none" w:sz="0" w:space="0" w:color="auto"/>
        <w:right w:val="none" w:sz="0" w:space="0" w:color="auto"/>
      </w:divBdr>
    </w:div>
    <w:div w:id="89548262">
      <w:bodyDiv w:val="1"/>
      <w:marLeft w:val="0"/>
      <w:marRight w:val="0"/>
      <w:marTop w:val="0"/>
      <w:marBottom w:val="0"/>
      <w:divBdr>
        <w:top w:val="none" w:sz="0" w:space="0" w:color="auto"/>
        <w:left w:val="none" w:sz="0" w:space="0" w:color="auto"/>
        <w:bottom w:val="none" w:sz="0" w:space="0" w:color="auto"/>
        <w:right w:val="none" w:sz="0" w:space="0" w:color="auto"/>
      </w:divBdr>
    </w:div>
    <w:div w:id="98188042">
      <w:bodyDiv w:val="1"/>
      <w:marLeft w:val="0"/>
      <w:marRight w:val="0"/>
      <w:marTop w:val="0"/>
      <w:marBottom w:val="0"/>
      <w:divBdr>
        <w:top w:val="none" w:sz="0" w:space="0" w:color="auto"/>
        <w:left w:val="none" w:sz="0" w:space="0" w:color="auto"/>
        <w:bottom w:val="none" w:sz="0" w:space="0" w:color="auto"/>
        <w:right w:val="none" w:sz="0" w:space="0" w:color="auto"/>
      </w:divBdr>
    </w:div>
    <w:div w:id="100539917">
      <w:bodyDiv w:val="1"/>
      <w:marLeft w:val="0"/>
      <w:marRight w:val="0"/>
      <w:marTop w:val="0"/>
      <w:marBottom w:val="0"/>
      <w:divBdr>
        <w:top w:val="none" w:sz="0" w:space="0" w:color="auto"/>
        <w:left w:val="none" w:sz="0" w:space="0" w:color="auto"/>
        <w:bottom w:val="none" w:sz="0" w:space="0" w:color="auto"/>
        <w:right w:val="none" w:sz="0" w:space="0" w:color="auto"/>
      </w:divBdr>
    </w:div>
    <w:div w:id="106779354">
      <w:bodyDiv w:val="1"/>
      <w:marLeft w:val="0"/>
      <w:marRight w:val="0"/>
      <w:marTop w:val="0"/>
      <w:marBottom w:val="0"/>
      <w:divBdr>
        <w:top w:val="none" w:sz="0" w:space="0" w:color="auto"/>
        <w:left w:val="none" w:sz="0" w:space="0" w:color="auto"/>
        <w:bottom w:val="none" w:sz="0" w:space="0" w:color="auto"/>
        <w:right w:val="none" w:sz="0" w:space="0" w:color="auto"/>
      </w:divBdr>
    </w:div>
    <w:div w:id="116265489">
      <w:bodyDiv w:val="1"/>
      <w:marLeft w:val="0"/>
      <w:marRight w:val="0"/>
      <w:marTop w:val="0"/>
      <w:marBottom w:val="0"/>
      <w:divBdr>
        <w:top w:val="none" w:sz="0" w:space="0" w:color="auto"/>
        <w:left w:val="none" w:sz="0" w:space="0" w:color="auto"/>
        <w:bottom w:val="none" w:sz="0" w:space="0" w:color="auto"/>
        <w:right w:val="none" w:sz="0" w:space="0" w:color="auto"/>
      </w:divBdr>
    </w:div>
    <w:div w:id="119038441">
      <w:bodyDiv w:val="1"/>
      <w:marLeft w:val="0"/>
      <w:marRight w:val="0"/>
      <w:marTop w:val="0"/>
      <w:marBottom w:val="0"/>
      <w:divBdr>
        <w:top w:val="none" w:sz="0" w:space="0" w:color="auto"/>
        <w:left w:val="none" w:sz="0" w:space="0" w:color="auto"/>
        <w:bottom w:val="none" w:sz="0" w:space="0" w:color="auto"/>
        <w:right w:val="none" w:sz="0" w:space="0" w:color="auto"/>
      </w:divBdr>
    </w:div>
    <w:div w:id="119541909">
      <w:bodyDiv w:val="1"/>
      <w:marLeft w:val="0"/>
      <w:marRight w:val="0"/>
      <w:marTop w:val="0"/>
      <w:marBottom w:val="0"/>
      <w:divBdr>
        <w:top w:val="none" w:sz="0" w:space="0" w:color="auto"/>
        <w:left w:val="none" w:sz="0" w:space="0" w:color="auto"/>
        <w:bottom w:val="none" w:sz="0" w:space="0" w:color="auto"/>
        <w:right w:val="none" w:sz="0" w:space="0" w:color="auto"/>
      </w:divBdr>
    </w:div>
    <w:div w:id="146555595">
      <w:bodyDiv w:val="1"/>
      <w:marLeft w:val="0"/>
      <w:marRight w:val="0"/>
      <w:marTop w:val="0"/>
      <w:marBottom w:val="0"/>
      <w:divBdr>
        <w:top w:val="none" w:sz="0" w:space="0" w:color="auto"/>
        <w:left w:val="none" w:sz="0" w:space="0" w:color="auto"/>
        <w:bottom w:val="none" w:sz="0" w:space="0" w:color="auto"/>
        <w:right w:val="none" w:sz="0" w:space="0" w:color="auto"/>
      </w:divBdr>
    </w:div>
    <w:div w:id="149637985">
      <w:bodyDiv w:val="1"/>
      <w:marLeft w:val="0"/>
      <w:marRight w:val="0"/>
      <w:marTop w:val="0"/>
      <w:marBottom w:val="0"/>
      <w:divBdr>
        <w:top w:val="none" w:sz="0" w:space="0" w:color="auto"/>
        <w:left w:val="none" w:sz="0" w:space="0" w:color="auto"/>
        <w:bottom w:val="none" w:sz="0" w:space="0" w:color="auto"/>
        <w:right w:val="none" w:sz="0" w:space="0" w:color="auto"/>
      </w:divBdr>
    </w:div>
    <w:div w:id="152181173">
      <w:bodyDiv w:val="1"/>
      <w:marLeft w:val="0"/>
      <w:marRight w:val="0"/>
      <w:marTop w:val="0"/>
      <w:marBottom w:val="0"/>
      <w:divBdr>
        <w:top w:val="none" w:sz="0" w:space="0" w:color="auto"/>
        <w:left w:val="none" w:sz="0" w:space="0" w:color="auto"/>
        <w:bottom w:val="none" w:sz="0" w:space="0" w:color="auto"/>
        <w:right w:val="none" w:sz="0" w:space="0" w:color="auto"/>
      </w:divBdr>
    </w:div>
    <w:div w:id="166527886">
      <w:bodyDiv w:val="1"/>
      <w:marLeft w:val="0"/>
      <w:marRight w:val="0"/>
      <w:marTop w:val="0"/>
      <w:marBottom w:val="0"/>
      <w:divBdr>
        <w:top w:val="none" w:sz="0" w:space="0" w:color="auto"/>
        <w:left w:val="none" w:sz="0" w:space="0" w:color="auto"/>
        <w:bottom w:val="none" w:sz="0" w:space="0" w:color="auto"/>
        <w:right w:val="none" w:sz="0" w:space="0" w:color="auto"/>
      </w:divBdr>
    </w:div>
    <w:div w:id="169218611">
      <w:bodyDiv w:val="1"/>
      <w:marLeft w:val="0"/>
      <w:marRight w:val="0"/>
      <w:marTop w:val="0"/>
      <w:marBottom w:val="0"/>
      <w:divBdr>
        <w:top w:val="none" w:sz="0" w:space="0" w:color="auto"/>
        <w:left w:val="none" w:sz="0" w:space="0" w:color="auto"/>
        <w:bottom w:val="none" w:sz="0" w:space="0" w:color="auto"/>
        <w:right w:val="none" w:sz="0" w:space="0" w:color="auto"/>
      </w:divBdr>
    </w:div>
    <w:div w:id="172958833">
      <w:bodyDiv w:val="1"/>
      <w:marLeft w:val="0"/>
      <w:marRight w:val="0"/>
      <w:marTop w:val="0"/>
      <w:marBottom w:val="0"/>
      <w:divBdr>
        <w:top w:val="none" w:sz="0" w:space="0" w:color="auto"/>
        <w:left w:val="none" w:sz="0" w:space="0" w:color="auto"/>
        <w:bottom w:val="none" w:sz="0" w:space="0" w:color="auto"/>
        <w:right w:val="none" w:sz="0" w:space="0" w:color="auto"/>
      </w:divBdr>
    </w:div>
    <w:div w:id="175114601">
      <w:bodyDiv w:val="1"/>
      <w:marLeft w:val="0"/>
      <w:marRight w:val="0"/>
      <w:marTop w:val="0"/>
      <w:marBottom w:val="0"/>
      <w:divBdr>
        <w:top w:val="none" w:sz="0" w:space="0" w:color="auto"/>
        <w:left w:val="none" w:sz="0" w:space="0" w:color="auto"/>
        <w:bottom w:val="none" w:sz="0" w:space="0" w:color="auto"/>
        <w:right w:val="none" w:sz="0" w:space="0" w:color="auto"/>
      </w:divBdr>
    </w:div>
    <w:div w:id="190460237">
      <w:bodyDiv w:val="1"/>
      <w:marLeft w:val="0"/>
      <w:marRight w:val="0"/>
      <w:marTop w:val="0"/>
      <w:marBottom w:val="0"/>
      <w:divBdr>
        <w:top w:val="none" w:sz="0" w:space="0" w:color="auto"/>
        <w:left w:val="none" w:sz="0" w:space="0" w:color="auto"/>
        <w:bottom w:val="none" w:sz="0" w:space="0" w:color="auto"/>
        <w:right w:val="none" w:sz="0" w:space="0" w:color="auto"/>
      </w:divBdr>
    </w:div>
    <w:div w:id="206265551">
      <w:bodyDiv w:val="1"/>
      <w:marLeft w:val="0"/>
      <w:marRight w:val="0"/>
      <w:marTop w:val="0"/>
      <w:marBottom w:val="0"/>
      <w:divBdr>
        <w:top w:val="none" w:sz="0" w:space="0" w:color="auto"/>
        <w:left w:val="none" w:sz="0" w:space="0" w:color="auto"/>
        <w:bottom w:val="none" w:sz="0" w:space="0" w:color="auto"/>
        <w:right w:val="none" w:sz="0" w:space="0" w:color="auto"/>
      </w:divBdr>
    </w:div>
    <w:div w:id="208953589">
      <w:bodyDiv w:val="1"/>
      <w:marLeft w:val="0"/>
      <w:marRight w:val="0"/>
      <w:marTop w:val="0"/>
      <w:marBottom w:val="0"/>
      <w:divBdr>
        <w:top w:val="none" w:sz="0" w:space="0" w:color="auto"/>
        <w:left w:val="none" w:sz="0" w:space="0" w:color="auto"/>
        <w:bottom w:val="none" w:sz="0" w:space="0" w:color="auto"/>
        <w:right w:val="none" w:sz="0" w:space="0" w:color="auto"/>
      </w:divBdr>
    </w:div>
    <w:div w:id="209726842">
      <w:bodyDiv w:val="1"/>
      <w:marLeft w:val="0"/>
      <w:marRight w:val="0"/>
      <w:marTop w:val="0"/>
      <w:marBottom w:val="0"/>
      <w:divBdr>
        <w:top w:val="none" w:sz="0" w:space="0" w:color="auto"/>
        <w:left w:val="none" w:sz="0" w:space="0" w:color="auto"/>
        <w:bottom w:val="none" w:sz="0" w:space="0" w:color="auto"/>
        <w:right w:val="none" w:sz="0" w:space="0" w:color="auto"/>
      </w:divBdr>
    </w:div>
    <w:div w:id="214895063">
      <w:bodyDiv w:val="1"/>
      <w:marLeft w:val="0"/>
      <w:marRight w:val="0"/>
      <w:marTop w:val="0"/>
      <w:marBottom w:val="0"/>
      <w:divBdr>
        <w:top w:val="none" w:sz="0" w:space="0" w:color="auto"/>
        <w:left w:val="none" w:sz="0" w:space="0" w:color="auto"/>
        <w:bottom w:val="none" w:sz="0" w:space="0" w:color="auto"/>
        <w:right w:val="none" w:sz="0" w:space="0" w:color="auto"/>
      </w:divBdr>
    </w:div>
    <w:div w:id="218172400">
      <w:bodyDiv w:val="1"/>
      <w:marLeft w:val="0"/>
      <w:marRight w:val="0"/>
      <w:marTop w:val="0"/>
      <w:marBottom w:val="0"/>
      <w:divBdr>
        <w:top w:val="none" w:sz="0" w:space="0" w:color="auto"/>
        <w:left w:val="none" w:sz="0" w:space="0" w:color="auto"/>
        <w:bottom w:val="none" w:sz="0" w:space="0" w:color="auto"/>
        <w:right w:val="none" w:sz="0" w:space="0" w:color="auto"/>
      </w:divBdr>
    </w:div>
    <w:div w:id="222566598">
      <w:bodyDiv w:val="1"/>
      <w:marLeft w:val="0"/>
      <w:marRight w:val="0"/>
      <w:marTop w:val="0"/>
      <w:marBottom w:val="0"/>
      <w:divBdr>
        <w:top w:val="none" w:sz="0" w:space="0" w:color="auto"/>
        <w:left w:val="none" w:sz="0" w:space="0" w:color="auto"/>
        <w:bottom w:val="none" w:sz="0" w:space="0" w:color="auto"/>
        <w:right w:val="none" w:sz="0" w:space="0" w:color="auto"/>
      </w:divBdr>
    </w:div>
    <w:div w:id="222764239">
      <w:bodyDiv w:val="1"/>
      <w:marLeft w:val="0"/>
      <w:marRight w:val="0"/>
      <w:marTop w:val="0"/>
      <w:marBottom w:val="0"/>
      <w:divBdr>
        <w:top w:val="none" w:sz="0" w:space="0" w:color="auto"/>
        <w:left w:val="none" w:sz="0" w:space="0" w:color="auto"/>
        <w:bottom w:val="none" w:sz="0" w:space="0" w:color="auto"/>
        <w:right w:val="none" w:sz="0" w:space="0" w:color="auto"/>
      </w:divBdr>
    </w:div>
    <w:div w:id="225531666">
      <w:bodyDiv w:val="1"/>
      <w:marLeft w:val="0"/>
      <w:marRight w:val="0"/>
      <w:marTop w:val="0"/>
      <w:marBottom w:val="0"/>
      <w:divBdr>
        <w:top w:val="none" w:sz="0" w:space="0" w:color="auto"/>
        <w:left w:val="none" w:sz="0" w:space="0" w:color="auto"/>
        <w:bottom w:val="none" w:sz="0" w:space="0" w:color="auto"/>
        <w:right w:val="none" w:sz="0" w:space="0" w:color="auto"/>
      </w:divBdr>
    </w:div>
    <w:div w:id="238291839">
      <w:bodyDiv w:val="1"/>
      <w:marLeft w:val="0"/>
      <w:marRight w:val="0"/>
      <w:marTop w:val="0"/>
      <w:marBottom w:val="0"/>
      <w:divBdr>
        <w:top w:val="none" w:sz="0" w:space="0" w:color="auto"/>
        <w:left w:val="none" w:sz="0" w:space="0" w:color="auto"/>
        <w:bottom w:val="none" w:sz="0" w:space="0" w:color="auto"/>
        <w:right w:val="none" w:sz="0" w:space="0" w:color="auto"/>
      </w:divBdr>
    </w:div>
    <w:div w:id="241062815">
      <w:bodyDiv w:val="1"/>
      <w:marLeft w:val="0"/>
      <w:marRight w:val="0"/>
      <w:marTop w:val="0"/>
      <w:marBottom w:val="0"/>
      <w:divBdr>
        <w:top w:val="none" w:sz="0" w:space="0" w:color="auto"/>
        <w:left w:val="none" w:sz="0" w:space="0" w:color="auto"/>
        <w:bottom w:val="none" w:sz="0" w:space="0" w:color="auto"/>
        <w:right w:val="none" w:sz="0" w:space="0" w:color="auto"/>
      </w:divBdr>
    </w:div>
    <w:div w:id="255134923">
      <w:bodyDiv w:val="1"/>
      <w:marLeft w:val="0"/>
      <w:marRight w:val="0"/>
      <w:marTop w:val="0"/>
      <w:marBottom w:val="0"/>
      <w:divBdr>
        <w:top w:val="none" w:sz="0" w:space="0" w:color="auto"/>
        <w:left w:val="none" w:sz="0" w:space="0" w:color="auto"/>
        <w:bottom w:val="none" w:sz="0" w:space="0" w:color="auto"/>
        <w:right w:val="none" w:sz="0" w:space="0" w:color="auto"/>
      </w:divBdr>
    </w:div>
    <w:div w:id="259215387">
      <w:bodyDiv w:val="1"/>
      <w:marLeft w:val="0"/>
      <w:marRight w:val="0"/>
      <w:marTop w:val="0"/>
      <w:marBottom w:val="0"/>
      <w:divBdr>
        <w:top w:val="none" w:sz="0" w:space="0" w:color="auto"/>
        <w:left w:val="none" w:sz="0" w:space="0" w:color="auto"/>
        <w:bottom w:val="none" w:sz="0" w:space="0" w:color="auto"/>
        <w:right w:val="none" w:sz="0" w:space="0" w:color="auto"/>
      </w:divBdr>
    </w:div>
    <w:div w:id="298653946">
      <w:bodyDiv w:val="1"/>
      <w:marLeft w:val="0"/>
      <w:marRight w:val="0"/>
      <w:marTop w:val="0"/>
      <w:marBottom w:val="0"/>
      <w:divBdr>
        <w:top w:val="none" w:sz="0" w:space="0" w:color="auto"/>
        <w:left w:val="none" w:sz="0" w:space="0" w:color="auto"/>
        <w:bottom w:val="none" w:sz="0" w:space="0" w:color="auto"/>
        <w:right w:val="none" w:sz="0" w:space="0" w:color="auto"/>
      </w:divBdr>
    </w:div>
    <w:div w:id="299313511">
      <w:bodyDiv w:val="1"/>
      <w:marLeft w:val="0"/>
      <w:marRight w:val="0"/>
      <w:marTop w:val="0"/>
      <w:marBottom w:val="0"/>
      <w:divBdr>
        <w:top w:val="none" w:sz="0" w:space="0" w:color="auto"/>
        <w:left w:val="none" w:sz="0" w:space="0" w:color="auto"/>
        <w:bottom w:val="none" w:sz="0" w:space="0" w:color="auto"/>
        <w:right w:val="none" w:sz="0" w:space="0" w:color="auto"/>
      </w:divBdr>
    </w:div>
    <w:div w:id="317998315">
      <w:bodyDiv w:val="1"/>
      <w:marLeft w:val="0"/>
      <w:marRight w:val="0"/>
      <w:marTop w:val="0"/>
      <w:marBottom w:val="0"/>
      <w:divBdr>
        <w:top w:val="none" w:sz="0" w:space="0" w:color="auto"/>
        <w:left w:val="none" w:sz="0" w:space="0" w:color="auto"/>
        <w:bottom w:val="none" w:sz="0" w:space="0" w:color="auto"/>
        <w:right w:val="none" w:sz="0" w:space="0" w:color="auto"/>
      </w:divBdr>
    </w:div>
    <w:div w:id="322009101">
      <w:bodyDiv w:val="1"/>
      <w:marLeft w:val="0"/>
      <w:marRight w:val="0"/>
      <w:marTop w:val="0"/>
      <w:marBottom w:val="0"/>
      <w:divBdr>
        <w:top w:val="none" w:sz="0" w:space="0" w:color="auto"/>
        <w:left w:val="none" w:sz="0" w:space="0" w:color="auto"/>
        <w:bottom w:val="none" w:sz="0" w:space="0" w:color="auto"/>
        <w:right w:val="none" w:sz="0" w:space="0" w:color="auto"/>
      </w:divBdr>
      <w:divsChild>
        <w:div w:id="620454532">
          <w:marLeft w:val="600"/>
          <w:marRight w:val="0"/>
          <w:marTop w:val="0"/>
          <w:marBottom w:val="0"/>
          <w:divBdr>
            <w:top w:val="none" w:sz="0" w:space="0" w:color="auto"/>
            <w:left w:val="none" w:sz="0" w:space="0" w:color="auto"/>
            <w:bottom w:val="none" w:sz="0" w:space="0" w:color="auto"/>
            <w:right w:val="none" w:sz="0" w:space="0" w:color="auto"/>
          </w:divBdr>
        </w:div>
      </w:divsChild>
    </w:div>
    <w:div w:id="323818978">
      <w:bodyDiv w:val="1"/>
      <w:marLeft w:val="0"/>
      <w:marRight w:val="0"/>
      <w:marTop w:val="0"/>
      <w:marBottom w:val="0"/>
      <w:divBdr>
        <w:top w:val="none" w:sz="0" w:space="0" w:color="auto"/>
        <w:left w:val="none" w:sz="0" w:space="0" w:color="auto"/>
        <w:bottom w:val="none" w:sz="0" w:space="0" w:color="auto"/>
        <w:right w:val="none" w:sz="0" w:space="0" w:color="auto"/>
      </w:divBdr>
    </w:div>
    <w:div w:id="339159528">
      <w:bodyDiv w:val="1"/>
      <w:marLeft w:val="0"/>
      <w:marRight w:val="0"/>
      <w:marTop w:val="0"/>
      <w:marBottom w:val="0"/>
      <w:divBdr>
        <w:top w:val="none" w:sz="0" w:space="0" w:color="auto"/>
        <w:left w:val="none" w:sz="0" w:space="0" w:color="auto"/>
        <w:bottom w:val="none" w:sz="0" w:space="0" w:color="auto"/>
        <w:right w:val="none" w:sz="0" w:space="0" w:color="auto"/>
      </w:divBdr>
      <w:divsChild>
        <w:div w:id="1966425006">
          <w:marLeft w:val="600"/>
          <w:marRight w:val="0"/>
          <w:marTop w:val="0"/>
          <w:marBottom w:val="0"/>
          <w:divBdr>
            <w:top w:val="none" w:sz="0" w:space="0" w:color="auto"/>
            <w:left w:val="none" w:sz="0" w:space="0" w:color="auto"/>
            <w:bottom w:val="none" w:sz="0" w:space="0" w:color="auto"/>
            <w:right w:val="none" w:sz="0" w:space="0" w:color="auto"/>
          </w:divBdr>
          <w:divsChild>
            <w:div w:id="6205026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40788588">
      <w:bodyDiv w:val="1"/>
      <w:marLeft w:val="0"/>
      <w:marRight w:val="0"/>
      <w:marTop w:val="0"/>
      <w:marBottom w:val="0"/>
      <w:divBdr>
        <w:top w:val="none" w:sz="0" w:space="0" w:color="auto"/>
        <w:left w:val="none" w:sz="0" w:space="0" w:color="auto"/>
        <w:bottom w:val="none" w:sz="0" w:space="0" w:color="auto"/>
        <w:right w:val="none" w:sz="0" w:space="0" w:color="auto"/>
      </w:divBdr>
    </w:div>
    <w:div w:id="347760805">
      <w:bodyDiv w:val="1"/>
      <w:marLeft w:val="0"/>
      <w:marRight w:val="0"/>
      <w:marTop w:val="0"/>
      <w:marBottom w:val="0"/>
      <w:divBdr>
        <w:top w:val="none" w:sz="0" w:space="0" w:color="auto"/>
        <w:left w:val="none" w:sz="0" w:space="0" w:color="auto"/>
        <w:bottom w:val="none" w:sz="0" w:space="0" w:color="auto"/>
        <w:right w:val="none" w:sz="0" w:space="0" w:color="auto"/>
      </w:divBdr>
      <w:divsChild>
        <w:div w:id="1802452250">
          <w:marLeft w:val="840"/>
          <w:marRight w:val="0"/>
          <w:marTop w:val="0"/>
          <w:marBottom w:val="0"/>
          <w:divBdr>
            <w:top w:val="none" w:sz="0" w:space="0" w:color="auto"/>
            <w:left w:val="none" w:sz="0" w:space="0" w:color="auto"/>
            <w:bottom w:val="none" w:sz="0" w:space="0" w:color="auto"/>
            <w:right w:val="none" w:sz="0" w:space="0" w:color="auto"/>
          </w:divBdr>
        </w:div>
      </w:divsChild>
    </w:div>
    <w:div w:id="354965602">
      <w:bodyDiv w:val="1"/>
      <w:marLeft w:val="0"/>
      <w:marRight w:val="0"/>
      <w:marTop w:val="0"/>
      <w:marBottom w:val="0"/>
      <w:divBdr>
        <w:top w:val="none" w:sz="0" w:space="0" w:color="auto"/>
        <w:left w:val="none" w:sz="0" w:space="0" w:color="auto"/>
        <w:bottom w:val="none" w:sz="0" w:space="0" w:color="auto"/>
        <w:right w:val="none" w:sz="0" w:space="0" w:color="auto"/>
      </w:divBdr>
      <w:divsChild>
        <w:div w:id="1969780239">
          <w:marLeft w:val="600"/>
          <w:marRight w:val="0"/>
          <w:marTop w:val="0"/>
          <w:marBottom w:val="0"/>
          <w:divBdr>
            <w:top w:val="none" w:sz="0" w:space="0" w:color="auto"/>
            <w:left w:val="none" w:sz="0" w:space="0" w:color="auto"/>
            <w:bottom w:val="none" w:sz="0" w:space="0" w:color="auto"/>
            <w:right w:val="none" w:sz="0" w:space="0" w:color="auto"/>
          </w:divBdr>
        </w:div>
      </w:divsChild>
    </w:div>
    <w:div w:id="357320702">
      <w:bodyDiv w:val="1"/>
      <w:marLeft w:val="0"/>
      <w:marRight w:val="0"/>
      <w:marTop w:val="0"/>
      <w:marBottom w:val="0"/>
      <w:divBdr>
        <w:top w:val="none" w:sz="0" w:space="0" w:color="auto"/>
        <w:left w:val="none" w:sz="0" w:space="0" w:color="auto"/>
        <w:bottom w:val="none" w:sz="0" w:space="0" w:color="auto"/>
        <w:right w:val="none" w:sz="0" w:space="0" w:color="auto"/>
      </w:divBdr>
    </w:div>
    <w:div w:id="359478786">
      <w:bodyDiv w:val="1"/>
      <w:marLeft w:val="0"/>
      <w:marRight w:val="0"/>
      <w:marTop w:val="0"/>
      <w:marBottom w:val="0"/>
      <w:divBdr>
        <w:top w:val="none" w:sz="0" w:space="0" w:color="auto"/>
        <w:left w:val="none" w:sz="0" w:space="0" w:color="auto"/>
        <w:bottom w:val="none" w:sz="0" w:space="0" w:color="auto"/>
        <w:right w:val="none" w:sz="0" w:space="0" w:color="auto"/>
      </w:divBdr>
      <w:divsChild>
        <w:div w:id="819463209">
          <w:marLeft w:val="600"/>
          <w:marRight w:val="0"/>
          <w:marTop w:val="0"/>
          <w:marBottom w:val="0"/>
          <w:divBdr>
            <w:top w:val="none" w:sz="0" w:space="0" w:color="auto"/>
            <w:left w:val="none" w:sz="0" w:space="0" w:color="auto"/>
            <w:bottom w:val="none" w:sz="0" w:space="0" w:color="auto"/>
            <w:right w:val="none" w:sz="0" w:space="0" w:color="auto"/>
          </w:divBdr>
          <w:divsChild>
            <w:div w:id="1048917010">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374740955">
      <w:bodyDiv w:val="1"/>
      <w:marLeft w:val="0"/>
      <w:marRight w:val="0"/>
      <w:marTop w:val="0"/>
      <w:marBottom w:val="0"/>
      <w:divBdr>
        <w:top w:val="none" w:sz="0" w:space="0" w:color="auto"/>
        <w:left w:val="none" w:sz="0" w:space="0" w:color="auto"/>
        <w:bottom w:val="none" w:sz="0" w:space="0" w:color="auto"/>
        <w:right w:val="none" w:sz="0" w:space="0" w:color="auto"/>
      </w:divBdr>
      <w:divsChild>
        <w:div w:id="110714550">
          <w:marLeft w:val="480"/>
          <w:marRight w:val="0"/>
          <w:marTop w:val="0"/>
          <w:marBottom w:val="0"/>
          <w:divBdr>
            <w:top w:val="none" w:sz="0" w:space="0" w:color="auto"/>
            <w:left w:val="none" w:sz="0" w:space="0" w:color="auto"/>
            <w:bottom w:val="none" w:sz="0" w:space="0" w:color="auto"/>
            <w:right w:val="none" w:sz="0" w:space="0" w:color="auto"/>
          </w:divBdr>
        </w:div>
      </w:divsChild>
    </w:div>
    <w:div w:id="391659722">
      <w:bodyDiv w:val="1"/>
      <w:marLeft w:val="0"/>
      <w:marRight w:val="0"/>
      <w:marTop w:val="0"/>
      <w:marBottom w:val="0"/>
      <w:divBdr>
        <w:top w:val="none" w:sz="0" w:space="0" w:color="auto"/>
        <w:left w:val="none" w:sz="0" w:space="0" w:color="auto"/>
        <w:bottom w:val="none" w:sz="0" w:space="0" w:color="auto"/>
        <w:right w:val="none" w:sz="0" w:space="0" w:color="auto"/>
      </w:divBdr>
      <w:divsChild>
        <w:div w:id="228462297">
          <w:marLeft w:val="600"/>
          <w:marRight w:val="0"/>
          <w:marTop w:val="0"/>
          <w:marBottom w:val="0"/>
          <w:divBdr>
            <w:top w:val="none" w:sz="0" w:space="0" w:color="auto"/>
            <w:left w:val="none" w:sz="0" w:space="0" w:color="auto"/>
            <w:bottom w:val="none" w:sz="0" w:space="0" w:color="auto"/>
            <w:right w:val="none" w:sz="0" w:space="0" w:color="auto"/>
          </w:divBdr>
        </w:div>
      </w:divsChild>
    </w:div>
    <w:div w:id="394280950">
      <w:bodyDiv w:val="1"/>
      <w:marLeft w:val="0"/>
      <w:marRight w:val="0"/>
      <w:marTop w:val="0"/>
      <w:marBottom w:val="0"/>
      <w:divBdr>
        <w:top w:val="none" w:sz="0" w:space="0" w:color="auto"/>
        <w:left w:val="none" w:sz="0" w:space="0" w:color="auto"/>
        <w:bottom w:val="none" w:sz="0" w:space="0" w:color="auto"/>
        <w:right w:val="none" w:sz="0" w:space="0" w:color="auto"/>
      </w:divBdr>
      <w:divsChild>
        <w:div w:id="1534729219">
          <w:marLeft w:val="480"/>
          <w:marRight w:val="0"/>
          <w:marTop w:val="0"/>
          <w:marBottom w:val="0"/>
          <w:divBdr>
            <w:top w:val="none" w:sz="0" w:space="0" w:color="auto"/>
            <w:left w:val="none" w:sz="0" w:space="0" w:color="auto"/>
            <w:bottom w:val="none" w:sz="0" w:space="0" w:color="auto"/>
            <w:right w:val="none" w:sz="0" w:space="0" w:color="auto"/>
          </w:divBdr>
        </w:div>
      </w:divsChild>
    </w:div>
    <w:div w:id="397484489">
      <w:bodyDiv w:val="1"/>
      <w:marLeft w:val="0"/>
      <w:marRight w:val="0"/>
      <w:marTop w:val="0"/>
      <w:marBottom w:val="0"/>
      <w:divBdr>
        <w:top w:val="none" w:sz="0" w:space="0" w:color="auto"/>
        <w:left w:val="none" w:sz="0" w:space="0" w:color="auto"/>
        <w:bottom w:val="none" w:sz="0" w:space="0" w:color="auto"/>
        <w:right w:val="none" w:sz="0" w:space="0" w:color="auto"/>
      </w:divBdr>
    </w:div>
    <w:div w:id="405230779">
      <w:bodyDiv w:val="1"/>
      <w:marLeft w:val="0"/>
      <w:marRight w:val="0"/>
      <w:marTop w:val="0"/>
      <w:marBottom w:val="0"/>
      <w:divBdr>
        <w:top w:val="none" w:sz="0" w:space="0" w:color="auto"/>
        <w:left w:val="none" w:sz="0" w:space="0" w:color="auto"/>
        <w:bottom w:val="none" w:sz="0" w:space="0" w:color="auto"/>
        <w:right w:val="none" w:sz="0" w:space="0" w:color="auto"/>
      </w:divBdr>
    </w:div>
    <w:div w:id="405808953">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3">
          <w:marLeft w:val="600"/>
          <w:marRight w:val="0"/>
          <w:marTop w:val="0"/>
          <w:marBottom w:val="0"/>
          <w:divBdr>
            <w:top w:val="none" w:sz="0" w:space="0" w:color="auto"/>
            <w:left w:val="none" w:sz="0" w:space="0" w:color="auto"/>
            <w:bottom w:val="none" w:sz="0" w:space="0" w:color="auto"/>
            <w:right w:val="none" w:sz="0" w:space="0" w:color="auto"/>
          </w:divBdr>
        </w:div>
      </w:divsChild>
    </w:div>
    <w:div w:id="405811075">
      <w:bodyDiv w:val="1"/>
      <w:marLeft w:val="0"/>
      <w:marRight w:val="0"/>
      <w:marTop w:val="0"/>
      <w:marBottom w:val="0"/>
      <w:divBdr>
        <w:top w:val="none" w:sz="0" w:space="0" w:color="auto"/>
        <w:left w:val="none" w:sz="0" w:space="0" w:color="auto"/>
        <w:bottom w:val="none" w:sz="0" w:space="0" w:color="auto"/>
        <w:right w:val="none" w:sz="0" w:space="0" w:color="auto"/>
      </w:divBdr>
      <w:divsChild>
        <w:div w:id="2128818270">
          <w:marLeft w:val="600"/>
          <w:marRight w:val="0"/>
          <w:marTop w:val="0"/>
          <w:marBottom w:val="0"/>
          <w:divBdr>
            <w:top w:val="none" w:sz="0" w:space="0" w:color="auto"/>
            <w:left w:val="none" w:sz="0" w:space="0" w:color="auto"/>
            <w:bottom w:val="none" w:sz="0" w:space="0" w:color="auto"/>
            <w:right w:val="none" w:sz="0" w:space="0" w:color="auto"/>
          </w:divBdr>
          <w:divsChild>
            <w:div w:id="12781029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14324679">
      <w:bodyDiv w:val="1"/>
      <w:marLeft w:val="0"/>
      <w:marRight w:val="0"/>
      <w:marTop w:val="0"/>
      <w:marBottom w:val="0"/>
      <w:divBdr>
        <w:top w:val="none" w:sz="0" w:space="0" w:color="auto"/>
        <w:left w:val="none" w:sz="0" w:space="0" w:color="auto"/>
        <w:bottom w:val="none" w:sz="0" w:space="0" w:color="auto"/>
        <w:right w:val="none" w:sz="0" w:space="0" w:color="auto"/>
      </w:divBdr>
      <w:divsChild>
        <w:div w:id="401223951">
          <w:marLeft w:val="480"/>
          <w:marRight w:val="0"/>
          <w:marTop w:val="0"/>
          <w:marBottom w:val="0"/>
          <w:divBdr>
            <w:top w:val="none" w:sz="0" w:space="0" w:color="auto"/>
            <w:left w:val="none" w:sz="0" w:space="0" w:color="auto"/>
            <w:bottom w:val="none" w:sz="0" w:space="0" w:color="auto"/>
            <w:right w:val="none" w:sz="0" w:space="0" w:color="auto"/>
          </w:divBdr>
        </w:div>
      </w:divsChild>
    </w:div>
    <w:div w:id="416751905">
      <w:bodyDiv w:val="1"/>
      <w:marLeft w:val="0"/>
      <w:marRight w:val="0"/>
      <w:marTop w:val="0"/>
      <w:marBottom w:val="0"/>
      <w:divBdr>
        <w:top w:val="none" w:sz="0" w:space="0" w:color="auto"/>
        <w:left w:val="none" w:sz="0" w:space="0" w:color="auto"/>
        <w:bottom w:val="none" w:sz="0" w:space="0" w:color="auto"/>
        <w:right w:val="none" w:sz="0" w:space="0" w:color="auto"/>
      </w:divBdr>
      <w:divsChild>
        <w:div w:id="1006907456">
          <w:marLeft w:val="600"/>
          <w:marRight w:val="0"/>
          <w:marTop w:val="0"/>
          <w:marBottom w:val="0"/>
          <w:divBdr>
            <w:top w:val="none" w:sz="0" w:space="0" w:color="auto"/>
            <w:left w:val="none" w:sz="0" w:space="0" w:color="auto"/>
            <w:bottom w:val="none" w:sz="0" w:space="0" w:color="auto"/>
            <w:right w:val="none" w:sz="0" w:space="0" w:color="auto"/>
          </w:divBdr>
        </w:div>
      </w:divsChild>
    </w:div>
    <w:div w:id="417680892">
      <w:bodyDiv w:val="1"/>
      <w:marLeft w:val="0"/>
      <w:marRight w:val="0"/>
      <w:marTop w:val="0"/>
      <w:marBottom w:val="0"/>
      <w:divBdr>
        <w:top w:val="none" w:sz="0" w:space="0" w:color="auto"/>
        <w:left w:val="none" w:sz="0" w:space="0" w:color="auto"/>
        <w:bottom w:val="none" w:sz="0" w:space="0" w:color="auto"/>
        <w:right w:val="none" w:sz="0" w:space="0" w:color="auto"/>
      </w:divBdr>
      <w:divsChild>
        <w:div w:id="736902459">
          <w:marLeft w:val="600"/>
          <w:marRight w:val="0"/>
          <w:marTop w:val="0"/>
          <w:marBottom w:val="0"/>
          <w:divBdr>
            <w:top w:val="none" w:sz="0" w:space="0" w:color="auto"/>
            <w:left w:val="none" w:sz="0" w:space="0" w:color="auto"/>
            <w:bottom w:val="none" w:sz="0" w:space="0" w:color="auto"/>
            <w:right w:val="none" w:sz="0" w:space="0" w:color="auto"/>
          </w:divBdr>
          <w:divsChild>
            <w:div w:id="12997931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682385">
      <w:bodyDiv w:val="1"/>
      <w:marLeft w:val="0"/>
      <w:marRight w:val="0"/>
      <w:marTop w:val="0"/>
      <w:marBottom w:val="0"/>
      <w:divBdr>
        <w:top w:val="none" w:sz="0" w:space="0" w:color="auto"/>
        <w:left w:val="none" w:sz="0" w:space="0" w:color="auto"/>
        <w:bottom w:val="none" w:sz="0" w:space="0" w:color="auto"/>
        <w:right w:val="none" w:sz="0" w:space="0" w:color="auto"/>
      </w:divBdr>
      <w:divsChild>
        <w:div w:id="1088116803">
          <w:marLeft w:val="600"/>
          <w:marRight w:val="0"/>
          <w:marTop w:val="0"/>
          <w:marBottom w:val="0"/>
          <w:divBdr>
            <w:top w:val="none" w:sz="0" w:space="0" w:color="auto"/>
            <w:left w:val="none" w:sz="0" w:space="0" w:color="auto"/>
            <w:bottom w:val="none" w:sz="0" w:space="0" w:color="auto"/>
            <w:right w:val="none" w:sz="0" w:space="0" w:color="auto"/>
          </w:divBdr>
          <w:divsChild>
            <w:div w:id="7363251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5540489">
      <w:bodyDiv w:val="1"/>
      <w:marLeft w:val="0"/>
      <w:marRight w:val="0"/>
      <w:marTop w:val="0"/>
      <w:marBottom w:val="0"/>
      <w:divBdr>
        <w:top w:val="none" w:sz="0" w:space="0" w:color="auto"/>
        <w:left w:val="none" w:sz="0" w:space="0" w:color="auto"/>
        <w:bottom w:val="none" w:sz="0" w:space="0" w:color="auto"/>
        <w:right w:val="none" w:sz="0" w:space="0" w:color="auto"/>
      </w:divBdr>
    </w:div>
    <w:div w:id="449134660">
      <w:bodyDiv w:val="1"/>
      <w:marLeft w:val="0"/>
      <w:marRight w:val="0"/>
      <w:marTop w:val="0"/>
      <w:marBottom w:val="0"/>
      <w:divBdr>
        <w:top w:val="none" w:sz="0" w:space="0" w:color="auto"/>
        <w:left w:val="none" w:sz="0" w:space="0" w:color="auto"/>
        <w:bottom w:val="none" w:sz="0" w:space="0" w:color="auto"/>
        <w:right w:val="none" w:sz="0" w:space="0" w:color="auto"/>
      </w:divBdr>
    </w:div>
    <w:div w:id="460802317">
      <w:bodyDiv w:val="1"/>
      <w:marLeft w:val="0"/>
      <w:marRight w:val="0"/>
      <w:marTop w:val="0"/>
      <w:marBottom w:val="0"/>
      <w:divBdr>
        <w:top w:val="none" w:sz="0" w:space="0" w:color="auto"/>
        <w:left w:val="none" w:sz="0" w:space="0" w:color="auto"/>
        <w:bottom w:val="none" w:sz="0" w:space="0" w:color="auto"/>
        <w:right w:val="none" w:sz="0" w:space="0" w:color="auto"/>
      </w:divBdr>
      <w:divsChild>
        <w:div w:id="778376901">
          <w:marLeft w:val="600"/>
          <w:marRight w:val="0"/>
          <w:marTop w:val="0"/>
          <w:marBottom w:val="0"/>
          <w:divBdr>
            <w:top w:val="none" w:sz="0" w:space="0" w:color="auto"/>
            <w:left w:val="none" w:sz="0" w:space="0" w:color="auto"/>
            <w:bottom w:val="none" w:sz="0" w:space="0" w:color="auto"/>
            <w:right w:val="none" w:sz="0" w:space="0" w:color="auto"/>
          </w:divBdr>
        </w:div>
      </w:divsChild>
    </w:div>
    <w:div w:id="475727166">
      <w:bodyDiv w:val="1"/>
      <w:marLeft w:val="0"/>
      <w:marRight w:val="0"/>
      <w:marTop w:val="0"/>
      <w:marBottom w:val="0"/>
      <w:divBdr>
        <w:top w:val="none" w:sz="0" w:space="0" w:color="auto"/>
        <w:left w:val="none" w:sz="0" w:space="0" w:color="auto"/>
        <w:bottom w:val="none" w:sz="0" w:space="0" w:color="auto"/>
        <w:right w:val="none" w:sz="0" w:space="0" w:color="auto"/>
      </w:divBdr>
    </w:div>
    <w:div w:id="492647863">
      <w:bodyDiv w:val="1"/>
      <w:marLeft w:val="0"/>
      <w:marRight w:val="0"/>
      <w:marTop w:val="0"/>
      <w:marBottom w:val="0"/>
      <w:divBdr>
        <w:top w:val="none" w:sz="0" w:space="0" w:color="auto"/>
        <w:left w:val="none" w:sz="0" w:space="0" w:color="auto"/>
        <w:bottom w:val="none" w:sz="0" w:space="0" w:color="auto"/>
        <w:right w:val="none" w:sz="0" w:space="0" w:color="auto"/>
      </w:divBdr>
      <w:divsChild>
        <w:div w:id="1785493925">
          <w:marLeft w:val="600"/>
          <w:marRight w:val="0"/>
          <w:marTop w:val="0"/>
          <w:marBottom w:val="0"/>
          <w:divBdr>
            <w:top w:val="none" w:sz="0" w:space="0" w:color="auto"/>
            <w:left w:val="none" w:sz="0" w:space="0" w:color="auto"/>
            <w:bottom w:val="none" w:sz="0" w:space="0" w:color="auto"/>
            <w:right w:val="none" w:sz="0" w:space="0" w:color="auto"/>
          </w:divBdr>
        </w:div>
      </w:divsChild>
    </w:div>
    <w:div w:id="498814869">
      <w:bodyDiv w:val="1"/>
      <w:marLeft w:val="0"/>
      <w:marRight w:val="0"/>
      <w:marTop w:val="0"/>
      <w:marBottom w:val="0"/>
      <w:divBdr>
        <w:top w:val="none" w:sz="0" w:space="0" w:color="auto"/>
        <w:left w:val="none" w:sz="0" w:space="0" w:color="auto"/>
        <w:bottom w:val="none" w:sz="0" w:space="0" w:color="auto"/>
        <w:right w:val="none" w:sz="0" w:space="0" w:color="auto"/>
      </w:divBdr>
      <w:divsChild>
        <w:div w:id="794907885">
          <w:marLeft w:val="600"/>
          <w:marRight w:val="0"/>
          <w:marTop w:val="0"/>
          <w:marBottom w:val="0"/>
          <w:divBdr>
            <w:top w:val="none" w:sz="0" w:space="0" w:color="auto"/>
            <w:left w:val="none" w:sz="0" w:space="0" w:color="auto"/>
            <w:bottom w:val="none" w:sz="0" w:space="0" w:color="auto"/>
            <w:right w:val="none" w:sz="0" w:space="0" w:color="auto"/>
          </w:divBdr>
        </w:div>
      </w:divsChild>
    </w:div>
    <w:div w:id="505638526">
      <w:bodyDiv w:val="1"/>
      <w:marLeft w:val="0"/>
      <w:marRight w:val="0"/>
      <w:marTop w:val="0"/>
      <w:marBottom w:val="0"/>
      <w:divBdr>
        <w:top w:val="none" w:sz="0" w:space="0" w:color="auto"/>
        <w:left w:val="none" w:sz="0" w:space="0" w:color="auto"/>
        <w:bottom w:val="none" w:sz="0" w:space="0" w:color="auto"/>
        <w:right w:val="none" w:sz="0" w:space="0" w:color="auto"/>
      </w:divBdr>
    </w:div>
    <w:div w:id="508372910">
      <w:bodyDiv w:val="1"/>
      <w:marLeft w:val="0"/>
      <w:marRight w:val="0"/>
      <w:marTop w:val="0"/>
      <w:marBottom w:val="0"/>
      <w:divBdr>
        <w:top w:val="none" w:sz="0" w:space="0" w:color="auto"/>
        <w:left w:val="none" w:sz="0" w:space="0" w:color="auto"/>
        <w:bottom w:val="none" w:sz="0" w:space="0" w:color="auto"/>
        <w:right w:val="none" w:sz="0" w:space="0" w:color="auto"/>
      </w:divBdr>
    </w:div>
    <w:div w:id="516121915">
      <w:bodyDiv w:val="1"/>
      <w:marLeft w:val="0"/>
      <w:marRight w:val="0"/>
      <w:marTop w:val="0"/>
      <w:marBottom w:val="0"/>
      <w:divBdr>
        <w:top w:val="none" w:sz="0" w:space="0" w:color="auto"/>
        <w:left w:val="none" w:sz="0" w:space="0" w:color="auto"/>
        <w:bottom w:val="none" w:sz="0" w:space="0" w:color="auto"/>
        <w:right w:val="none" w:sz="0" w:space="0" w:color="auto"/>
      </w:divBdr>
    </w:div>
    <w:div w:id="516311324">
      <w:bodyDiv w:val="1"/>
      <w:marLeft w:val="0"/>
      <w:marRight w:val="0"/>
      <w:marTop w:val="0"/>
      <w:marBottom w:val="0"/>
      <w:divBdr>
        <w:top w:val="none" w:sz="0" w:space="0" w:color="auto"/>
        <w:left w:val="none" w:sz="0" w:space="0" w:color="auto"/>
        <w:bottom w:val="none" w:sz="0" w:space="0" w:color="auto"/>
        <w:right w:val="none" w:sz="0" w:space="0" w:color="auto"/>
      </w:divBdr>
    </w:div>
    <w:div w:id="529152780">
      <w:bodyDiv w:val="1"/>
      <w:marLeft w:val="0"/>
      <w:marRight w:val="0"/>
      <w:marTop w:val="0"/>
      <w:marBottom w:val="0"/>
      <w:divBdr>
        <w:top w:val="none" w:sz="0" w:space="0" w:color="auto"/>
        <w:left w:val="none" w:sz="0" w:space="0" w:color="auto"/>
        <w:bottom w:val="none" w:sz="0" w:space="0" w:color="auto"/>
        <w:right w:val="none" w:sz="0" w:space="0" w:color="auto"/>
      </w:divBdr>
    </w:div>
    <w:div w:id="531067434">
      <w:bodyDiv w:val="1"/>
      <w:marLeft w:val="0"/>
      <w:marRight w:val="0"/>
      <w:marTop w:val="0"/>
      <w:marBottom w:val="0"/>
      <w:divBdr>
        <w:top w:val="none" w:sz="0" w:space="0" w:color="auto"/>
        <w:left w:val="none" w:sz="0" w:space="0" w:color="auto"/>
        <w:bottom w:val="none" w:sz="0" w:space="0" w:color="auto"/>
        <w:right w:val="none" w:sz="0" w:space="0" w:color="auto"/>
      </w:divBdr>
    </w:div>
    <w:div w:id="538008606">
      <w:bodyDiv w:val="1"/>
      <w:marLeft w:val="0"/>
      <w:marRight w:val="0"/>
      <w:marTop w:val="0"/>
      <w:marBottom w:val="0"/>
      <w:divBdr>
        <w:top w:val="none" w:sz="0" w:space="0" w:color="auto"/>
        <w:left w:val="none" w:sz="0" w:space="0" w:color="auto"/>
        <w:bottom w:val="none" w:sz="0" w:space="0" w:color="auto"/>
        <w:right w:val="none" w:sz="0" w:space="0" w:color="auto"/>
      </w:divBdr>
    </w:div>
    <w:div w:id="546183095">
      <w:bodyDiv w:val="1"/>
      <w:marLeft w:val="0"/>
      <w:marRight w:val="0"/>
      <w:marTop w:val="0"/>
      <w:marBottom w:val="0"/>
      <w:divBdr>
        <w:top w:val="none" w:sz="0" w:space="0" w:color="auto"/>
        <w:left w:val="none" w:sz="0" w:space="0" w:color="auto"/>
        <w:bottom w:val="none" w:sz="0" w:space="0" w:color="auto"/>
        <w:right w:val="none" w:sz="0" w:space="0" w:color="auto"/>
      </w:divBdr>
    </w:div>
    <w:div w:id="547492480">
      <w:bodyDiv w:val="1"/>
      <w:marLeft w:val="0"/>
      <w:marRight w:val="0"/>
      <w:marTop w:val="0"/>
      <w:marBottom w:val="0"/>
      <w:divBdr>
        <w:top w:val="none" w:sz="0" w:space="0" w:color="auto"/>
        <w:left w:val="none" w:sz="0" w:space="0" w:color="auto"/>
        <w:bottom w:val="none" w:sz="0" w:space="0" w:color="auto"/>
        <w:right w:val="none" w:sz="0" w:space="0" w:color="auto"/>
      </w:divBdr>
    </w:div>
    <w:div w:id="554436575">
      <w:bodyDiv w:val="1"/>
      <w:marLeft w:val="0"/>
      <w:marRight w:val="0"/>
      <w:marTop w:val="0"/>
      <w:marBottom w:val="0"/>
      <w:divBdr>
        <w:top w:val="none" w:sz="0" w:space="0" w:color="auto"/>
        <w:left w:val="none" w:sz="0" w:space="0" w:color="auto"/>
        <w:bottom w:val="none" w:sz="0" w:space="0" w:color="auto"/>
        <w:right w:val="none" w:sz="0" w:space="0" w:color="auto"/>
      </w:divBdr>
    </w:div>
    <w:div w:id="582179514">
      <w:bodyDiv w:val="1"/>
      <w:marLeft w:val="0"/>
      <w:marRight w:val="0"/>
      <w:marTop w:val="0"/>
      <w:marBottom w:val="0"/>
      <w:divBdr>
        <w:top w:val="none" w:sz="0" w:space="0" w:color="auto"/>
        <w:left w:val="none" w:sz="0" w:space="0" w:color="auto"/>
        <w:bottom w:val="none" w:sz="0" w:space="0" w:color="auto"/>
        <w:right w:val="none" w:sz="0" w:space="0" w:color="auto"/>
      </w:divBdr>
    </w:div>
    <w:div w:id="587271381">
      <w:bodyDiv w:val="1"/>
      <w:marLeft w:val="0"/>
      <w:marRight w:val="0"/>
      <w:marTop w:val="0"/>
      <w:marBottom w:val="0"/>
      <w:divBdr>
        <w:top w:val="none" w:sz="0" w:space="0" w:color="auto"/>
        <w:left w:val="none" w:sz="0" w:space="0" w:color="auto"/>
        <w:bottom w:val="none" w:sz="0" w:space="0" w:color="auto"/>
        <w:right w:val="none" w:sz="0" w:space="0" w:color="auto"/>
      </w:divBdr>
    </w:div>
    <w:div w:id="589967988">
      <w:bodyDiv w:val="1"/>
      <w:marLeft w:val="0"/>
      <w:marRight w:val="0"/>
      <w:marTop w:val="0"/>
      <w:marBottom w:val="0"/>
      <w:divBdr>
        <w:top w:val="none" w:sz="0" w:space="0" w:color="auto"/>
        <w:left w:val="none" w:sz="0" w:space="0" w:color="auto"/>
        <w:bottom w:val="none" w:sz="0" w:space="0" w:color="auto"/>
        <w:right w:val="none" w:sz="0" w:space="0" w:color="auto"/>
      </w:divBdr>
    </w:div>
    <w:div w:id="607539682">
      <w:bodyDiv w:val="1"/>
      <w:marLeft w:val="0"/>
      <w:marRight w:val="0"/>
      <w:marTop w:val="0"/>
      <w:marBottom w:val="0"/>
      <w:divBdr>
        <w:top w:val="none" w:sz="0" w:space="0" w:color="auto"/>
        <w:left w:val="none" w:sz="0" w:space="0" w:color="auto"/>
        <w:bottom w:val="none" w:sz="0" w:space="0" w:color="auto"/>
        <w:right w:val="none" w:sz="0" w:space="0" w:color="auto"/>
      </w:divBdr>
    </w:div>
    <w:div w:id="620498906">
      <w:bodyDiv w:val="1"/>
      <w:marLeft w:val="0"/>
      <w:marRight w:val="0"/>
      <w:marTop w:val="0"/>
      <w:marBottom w:val="0"/>
      <w:divBdr>
        <w:top w:val="none" w:sz="0" w:space="0" w:color="auto"/>
        <w:left w:val="none" w:sz="0" w:space="0" w:color="auto"/>
        <w:bottom w:val="none" w:sz="0" w:space="0" w:color="auto"/>
        <w:right w:val="none" w:sz="0" w:space="0" w:color="auto"/>
      </w:divBdr>
    </w:div>
    <w:div w:id="628828673">
      <w:bodyDiv w:val="1"/>
      <w:marLeft w:val="0"/>
      <w:marRight w:val="0"/>
      <w:marTop w:val="0"/>
      <w:marBottom w:val="0"/>
      <w:divBdr>
        <w:top w:val="none" w:sz="0" w:space="0" w:color="auto"/>
        <w:left w:val="none" w:sz="0" w:space="0" w:color="auto"/>
        <w:bottom w:val="none" w:sz="0" w:space="0" w:color="auto"/>
        <w:right w:val="none" w:sz="0" w:space="0" w:color="auto"/>
      </w:divBdr>
    </w:div>
    <w:div w:id="638926249">
      <w:bodyDiv w:val="1"/>
      <w:marLeft w:val="0"/>
      <w:marRight w:val="0"/>
      <w:marTop w:val="0"/>
      <w:marBottom w:val="0"/>
      <w:divBdr>
        <w:top w:val="none" w:sz="0" w:space="0" w:color="auto"/>
        <w:left w:val="none" w:sz="0" w:space="0" w:color="auto"/>
        <w:bottom w:val="none" w:sz="0" w:space="0" w:color="auto"/>
        <w:right w:val="none" w:sz="0" w:space="0" w:color="auto"/>
      </w:divBdr>
    </w:div>
    <w:div w:id="641034762">
      <w:bodyDiv w:val="1"/>
      <w:marLeft w:val="0"/>
      <w:marRight w:val="0"/>
      <w:marTop w:val="0"/>
      <w:marBottom w:val="0"/>
      <w:divBdr>
        <w:top w:val="none" w:sz="0" w:space="0" w:color="auto"/>
        <w:left w:val="none" w:sz="0" w:space="0" w:color="auto"/>
        <w:bottom w:val="none" w:sz="0" w:space="0" w:color="auto"/>
        <w:right w:val="none" w:sz="0" w:space="0" w:color="auto"/>
      </w:divBdr>
    </w:div>
    <w:div w:id="641471223">
      <w:bodyDiv w:val="1"/>
      <w:marLeft w:val="0"/>
      <w:marRight w:val="0"/>
      <w:marTop w:val="0"/>
      <w:marBottom w:val="0"/>
      <w:divBdr>
        <w:top w:val="none" w:sz="0" w:space="0" w:color="auto"/>
        <w:left w:val="none" w:sz="0" w:space="0" w:color="auto"/>
        <w:bottom w:val="none" w:sz="0" w:space="0" w:color="auto"/>
        <w:right w:val="none" w:sz="0" w:space="0" w:color="auto"/>
      </w:divBdr>
    </w:div>
    <w:div w:id="643124016">
      <w:bodyDiv w:val="1"/>
      <w:marLeft w:val="0"/>
      <w:marRight w:val="0"/>
      <w:marTop w:val="0"/>
      <w:marBottom w:val="0"/>
      <w:divBdr>
        <w:top w:val="none" w:sz="0" w:space="0" w:color="auto"/>
        <w:left w:val="none" w:sz="0" w:space="0" w:color="auto"/>
        <w:bottom w:val="none" w:sz="0" w:space="0" w:color="auto"/>
        <w:right w:val="none" w:sz="0" w:space="0" w:color="auto"/>
      </w:divBdr>
      <w:divsChild>
        <w:div w:id="1082875271">
          <w:marLeft w:val="600"/>
          <w:marRight w:val="0"/>
          <w:marTop w:val="0"/>
          <w:marBottom w:val="0"/>
          <w:divBdr>
            <w:top w:val="none" w:sz="0" w:space="0" w:color="auto"/>
            <w:left w:val="none" w:sz="0" w:space="0" w:color="auto"/>
            <w:bottom w:val="none" w:sz="0" w:space="0" w:color="auto"/>
            <w:right w:val="none" w:sz="0" w:space="0" w:color="auto"/>
          </w:divBdr>
        </w:div>
      </w:divsChild>
    </w:div>
    <w:div w:id="644050844">
      <w:bodyDiv w:val="1"/>
      <w:marLeft w:val="0"/>
      <w:marRight w:val="0"/>
      <w:marTop w:val="0"/>
      <w:marBottom w:val="0"/>
      <w:divBdr>
        <w:top w:val="none" w:sz="0" w:space="0" w:color="auto"/>
        <w:left w:val="none" w:sz="0" w:space="0" w:color="auto"/>
        <w:bottom w:val="none" w:sz="0" w:space="0" w:color="auto"/>
        <w:right w:val="none" w:sz="0" w:space="0" w:color="auto"/>
      </w:divBdr>
    </w:div>
    <w:div w:id="646015588">
      <w:bodyDiv w:val="1"/>
      <w:marLeft w:val="0"/>
      <w:marRight w:val="0"/>
      <w:marTop w:val="0"/>
      <w:marBottom w:val="0"/>
      <w:divBdr>
        <w:top w:val="none" w:sz="0" w:space="0" w:color="auto"/>
        <w:left w:val="none" w:sz="0" w:space="0" w:color="auto"/>
        <w:bottom w:val="none" w:sz="0" w:space="0" w:color="auto"/>
        <w:right w:val="none" w:sz="0" w:space="0" w:color="auto"/>
      </w:divBdr>
    </w:div>
    <w:div w:id="647710875">
      <w:bodyDiv w:val="1"/>
      <w:marLeft w:val="0"/>
      <w:marRight w:val="0"/>
      <w:marTop w:val="0"/>
      <w:marBottom w:val="0"/>
      <w:divBdr>
        <w:top w:val="none" w:sz="0" w:space="0" w:color="auto"/>
        <w:left w:val="none" w:sz="0" w:space="0" w:color="auto"/>
        <w:bottom w:val="none" w:sz="0" w:space="0" w:color="auto"/>
        <w:right w:val="none" w:sz="0" w:space="0" w:color="auto"/>
      </w:divBdr>
      <w:divsChild>
        <w:div w:id="333188441">
          <w:marLeft w:val="600"/>
          <w:marRight w:val="0"/>
          <w:marTop w:val="0"/>
          <w:marBottom w:val="0"/>
          <w:divBdr>
            <w:top w:val="none" w:sz="0" w:space="0" w:color="auto"/>
            <w:left w:val="none" w:sz="0" w:space="0" w:color="auto"/>
            <w:bottom w:val="none" w:sz="0" w:space="0" w:color="auto"/>
            <w:right w:val="none" w:sz="0" w:space="0" w:color="auto"/>
          </w:divBdr>
        </w:div>
      </w:divsChild>
    </w:div>
    <w:div w:id="665329124">
      <w:bodyDiv w:val="1"/>
      <w:marLeft w:val="0"/>
      <w:marRight w:val="0"/>
      <w:marTop w:val="0"/>
      <w:marBottom w:val="0"/>
      <w:divBdr>
        <w:top w:val="none" w:sz="0" w:space="0" w:color="auto"/>
        <w:left w:val="none" w:sz="0" w:space="0" w:color="auto"/>
        <w:bottom w:val="none" w:sz="0" w:space="0" w:color="auto"/>
        <w:right w:val="none" w:sz="0" w:space="0" w:color="auto"/>
      </w:divBdr>
    </w:div>
    <w:div w:id="672606894">
      <w:bodyDiv w:val="1"/>
      <w:marLeft w:val="0"/>
      <w:marRight w:val="0"/>
      <w:marTop w:val="0"/>
      <w:marBottom w:val="0"/>
      <w:divBdr>
        <w:top w:val="none" w:sz="0" w:space="0" w:color="auto"/>
        <w:left w:val="none" w:sz="0" w:space="0" w:color="auto"/>
        <w:bottom w:val="none" w:sz="0" w:space="0" w:color="auto"/>
        <w:right w:val="none" w:sz="0" w:space="0" w:color="auto"/>
      </w:divBdr>
      <w:divsChild>
        <w:div w:id="1950235725">
          <w:marLeft w:val="600"/>
          <w:marRight w:val="0"/>
          <w:marTop w:val="0"/>
          <w:marBottom w:val="0"/>
          <w:divBdr>
            <w:top w:val="none" w:sz="0" w:space="0" w:color="auto"/>
            <w:left w:val="none" w:sz="0" w:space="0" w:color="auto"/>
            <w:bottom w:val="none" w:sz="0" w:space="0" w:color="auto"/>
            <w:right w:val="none" w:sz="0" w:space="0" w:color="auto"/>
          </w:divBdr>
        </w:div>
        <w:div w:id="39674834">
          <w:marLeft w:val="600"/>
          <w:marRight w:val="0"/>
          <w:marTop w:val="0"/>
          <w:marBottom w:val="0"/>
          <w:divBdr>
            <w:top w:val="none" w:sz="0" w:space="0" w:color="auto"/>
            <w:left w:val="none" w:sz="0" w:space="0" w:color="auto"/>
            <w:bottom w:val="none" w:sz="0" w:space="0" w:color="auto"/>
            <w:right w:val="none" w:sz="0" w:space="0" w:color="auto"/>
          </w:divBdr>
        </w:div>
      </w:divsChild>
    </w:div>
    <w:div w:id="681400520">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682632327">
      <w:bodyDiv w:val="1"/>
      <w:marLeft w:val="0"/>
      <w:marRight w:val="0"/>
      <w:marTop w:val="0"/>
      <w:marBottom w:val="0"/>
      <w:divBdr>
        <w:top w:val="none" w:sz="0" w:space="0" w:color="auto"/>
        <w:left w:val="none" w:sz="0" w:space="0" w:color="auto"/>
        <w:bottom w:val="none" w:sz="0" w:space="0" w:color="auto"/>
        <w:right w:val="none" w:sz="0" w:space="0" w:color="auto"/>
      </w:divBdr>
      <w:divsChild>
        <w:div w:id="1970935680">
          <w:marLeft w:val="600"/>
          <w:marRight w:val="0"/>
          <w:marTop w:val="0"/>
          <w:marBottom w:val="0"/>
          <w:divBdr>
            <w:top w:val="none" w:sz="0" w:space="0" w:color="auto"/>
            <w:left w:val="none" w:sz="0" w:space="0" w:color="auto"/>
            <w:bottom w:val="none" w:sz="0" w:space="0" w:color="auto"/>
            <w:right w:val="none" w:sz="0" w:space="0" w:color="auto"/>
          </w:divBdr>
        </w:div>
      </w:divsChild>
    </w:div>
    <w:div w:id="684752763">
      <w:bodyDiv w:val="1"/>
      <w:marLeft w:val="0"/>
      <w:marRight w:val="0"/>
      <w:marTop w:val="0"/>
      <w:marBottom w:val="0"/>
      <w:divBdr>
        <w:top w:val="none" w:sz="0" w:space="0" w:color="auto"/>
        <w:left w:val="none" w:sz="0" w:space="0" w:color="auto"/>
        <w:bottom w:val="none" w:sz="0" w:space="0" w:color="auto"/>
        <w:right w:val="none" w:sz="0" w:space="0" w:color="auto"/>
      </w:divBdr>
    </w:div>
    <w:div w:id="692154147">
      <w:bodyDiv w:val="1"/>
      <w:marLeft w:val="0"/>
      <w:marRight w:val="0"/>
      <w:marTop w:val="0"/>
      <w:marBottom w:val="0"/>
      <w:divBdr>
        <w:top w:val="none" w:sz="0" w:space="0" w:color="auto"/>
        <w:left w:val="none" w:sz="0" w:space="0" w:color="auto"/>
        <w:bottom w:val="none" w:sz="0" w:space="0" w:color="auto"/>
        <w:right w:val="none" w:sz="0" w:space="0" w:color="auto"/>
      </w:divBdr>
    </w:div>
    <w:div w:id="700786514">
      <w:bodyDiv w:val="1"/>
      <w:marLeft w:val="0"/>
      <w:marRight w:val="0"/>
      <w:marTop w:val="0"/>
      <w:marBottom w:val="0"/>
      <w:divBdr>
        <w:top w:val="none" w:sz="0" w:space="0" w:color="auto"/>
        <w:left w:val="none" w:sz="0" w:space="0" w:color="auto"/>
        <w:bottom w:val="none" w:sz="0" w:space="0" w:color="auto"/>
        <w:right w:val="none" w:sz="0" w:space="0" w:color="auto"/>
      </w:divBdr>
    </w:div>
    <w:div w:id="709719037">
      <w:bodyDiv w:val="1"/>
      <w:marLeft w:val="0"/>
      <w:marRight w:val="0"/>
      <w:marTop w:val="0"/>
      <w:marBottom w:val="0"/>
      <w:divBdr>
        <w:top w:val="none" w:sz="0" w:space="0" w:color="auto"/>
        <w:left w:val="none" w:sz="0" w:space="0" w:color="auto"/>
        <w:bottom w:val="none" w:sz="0" w:space="0" w:color="auto"/>
        <w:right w:val="none" w:sz="0" w:space="0" w:color="auto"/>
      </w:divBdr>
    </w:div>
    <w:div w:id="718165704">
      <w:bodyDiv w:val="1"/>
      <w:marLeft w:val="0"/>
      <w:marRight w:val="0"/>
      <w:marTop w:val="0"/>
      <w:marBottom w:val="0"/>
      <w:divBdr>
        <w:top w:val="none" w:sz="0" w:space="0" w:color="auto"/>
        <w:left w:val="none" w:sz="0" w:space="0" w:color="auto"/>
        <w:bottom w:val="none" w:sz="0" w:space="0" w:color="auto"/>
        <w:right w:val="none" w:sz="0" w:space="0" w:color="auto"/>
      </w:divBdr>
    </w:div>
    <w:div w:id="727803298">
      <w:bodyDiv w:val="1"/>
      <w:marLeft w:val="0"/>
      <w:marRight w:val="0"/>
      <w:marTop w:val="0"/>
      <w:marBottom w:val="0"/>
      <w:divBdr>
        <w:top w:val="none" w:sz="0" w:space="0" w:color="auto"/>
        <w:left w:val="none" w:sz="0" w:space="0" w:color="auto"/>
        <w:bottom w:val="none" w:sz="0" w:space="0" w:color="auto"/>
        <w:right w:val="none" w:sz="0" w:space="0" w:color="auto"/>
      </w:divBdr>
    </w:div>
    <w:div w:id="728457063">
      <w:bodyDiv w:val="1"/>
      <w:marLeft w:val="0"/>
      <w:marRight w:val="0"/>
      <w:marTop w:val="0"/>
      <w:marBottom w:val="0"/>
      <w:divBdr>
        <w:top w:val="none" w:sz="0" w:space="0" w:color="auto"/>
        <w:left w:val="none" w:sz="0" w:space="0" w:color="auto"/>
        <w:bottom w:val="none" w:sz="0" w:space="0" w:color="auto"/>
        <w:right w:val="none" w:sz="0" w:space="0" w:color="auto"/>
      </w:divBdr>
    </w:div>
    <w:div w:id="742025242">
      <w:bodyDiv w:val="1"/>
      <w:marLeft w:val="0"/>
      <w:marRight w:val="0"/>
      <w:marTop w:val="0"/>
      <w:marBottom w:val="0"/>
      <w:divBdr>
        <w:top w:val="none" w:sz="0" w:space="0" w:color="auto"/>
        <w:left w:val="none" w:sz="0" w:space="0" w:color="auto"/>
        <w:bottom w:val="none" w:sz="0" w:space="0" w:color="auto"/>
        <w:right w:val="none" w:sz="0" w:space="0" w:color="auto"/>
      </w:divBdr>
    </w:div>
    <w:div w:id="754744527">
      <w:bodyDiv w:val="1"/>
      <w:marLeft w:val="0"/>
      <w:marRight w:val="0"/>
      <w:marTop w:val="0"/>
      <w:marBottom w:val="0"/>
      <w:divBdr>
        <w:top w:val="none" w:sz="0" w:space="0" w:color="auto"/>
        <w:left w:val="none" w:sz="0" w:space="0" w:color="auto"/>
        <w:bottom w:val="none" w:sz="0" w:space="0" w:color="auto"/>
        <w:right w:val="none" w:sz="0" w:space="0" w:color="auto"/>
      </w:divBdr>
    </w:div>
    <w:div w:id="757604066">
      <w:bodyDiv w:val="1"/>
      <w:marLeft w:val="0"/>
      <w:marRight w:val="0"/>
      <w:marTop w:val="0"/>
      <w:marBottom w:val="0"/>
      <w:divBdr>
        <w:top w:val="none" w:sz="0" w:space="0" w:color="auto"/>
        <w:left w:val="none" w:sz="0" w:space="0" w:color="auto"/>
        <w:bottom w:val="none" w:sz="0" w:space="0" w:color="auto"/>
        <w:right w:val="none" w:sz="0" w:space="0" w:color="auto"/>
      </w:divBdr>
    </w:div>
    <w:div w:id="760175477">
      <w:bodyDiv w:val="1"/>
      <w:marLeft w:val="0"/>
      <w:marRight w:val="0"/>
      <w:marTop w:val="0"/>
      <w:marBottom w:val="0"/>
      <w:divBdr>
        <w:top w:val="none" w:sz="0" w:space="0" w:color="auto"/>
        <w:left w:val="none" w:sz="0" w:space="0" w:color="auto"/>
        <w:bottom w:val="none" w:sz="0" w:space="0" w:color="auto"/>
        <w:right w:val="none" w:sz="0" w:space="0" w:color="auto"/>
      </w:divBdr>
    </w:div>
    <w:div w:id="762915149">
      <w:bodyDiv w:val="1"/>
      <w:marLeft w:val="0"/>
      <w:marRight w:val="0"/>
      <w:marTop w:val="0"/>
      <w:marBottom w:val="0"/>
      <w:divBdr>
        <w:top w:val="none" w:sz="0" w:space="0" w:color="auto"/>
        <w:left w:val="none" w:sz="0" w:space="0" w:color="auto"/>
        <w:bottom w:val="none" w:sz="0" w:space="0" w:color="auto"/>
        <w:right w:val="none" w:sz="0" w:space="0" w:color="auto"/>
      </w:divBdr>
    </w:div>
    <w:div w:id="765688960">
      <w:bodyDiv w:val="1"/>
      <w:marLeft w:val="0"/>
      <w:marRight w:val="0"/>
      <w:marTop w:val="0"/>
      <w:marBottom w:val="0"/>
      <w:divBdr>
        <w:top w:val="none" w:sz="0" w:space="0" w:color="auto"/>
        <w:left w:val="none" w:sz="0" w:space="0" w:color="auto"/>
        <w:bottom w:val="none" w:sz="0" w:space="0" w:color="auto"/>
        <w:right w:val="none" w:sz="0" w:space="0" w:color="auto"/>
      </w:divBdr>
    </w:div>
    <w:div w:id="766461241">
      <w:bodyDiv w:val="1"/>
      <w:marLeft w:val="0"/>
      <w:marRight w:val="0"/>
      <w:marTop w:val="0"/>
      <w:marBottom w:val="0"/>
      <w:divBdr>
        <w:top w:val="none" w:sz="0" w:space="0" w:color="auto"/>
        <w:left w:val="none" w:sz="0" w:space="0" w:color="auto"/>
        <w:bottom w:val="none" w:sz="0" w:space="0" w:color="auto"/>
        <w:right w:val="none" w:sz="0" w:space="0" w:color="auto"/>
      </w:divBdr>
    </w:div>
    <w:div w:id="774638130">
      <w:bodyDiv w:val="1"/>
      <w:marLeft w:val="0"/>
      <w:marRight w:val="0"/>
      <w:marTop w:val="0"/>
      <w:marBottom w:val="0"/>
      <w:divBdr>
        <w:top w:val="none" w:sz="0" w:space="0" w:color="auto"/>
        <w:left w:val="none" w:sz="0" w:space="0" w:color="auto"/>
        <w:bottom w:val="none" w:sz="0" w:space="0" w:color="auto"/>
        <w:right w:val="none" w:sz="0" w:space="0" w:color="auto"/>
      </w:divBdr>
    </w:div>
    <w:div w:id="775752736">
      <w:bodyDiv w:val="1"/>
      <w:marLeft w:val="0"/>
      <w:marRight w:val="0"/>
      <w:marTop w:val="0"/>
      <w:marBottom w:val="0"/>
      <w:divBdr>
        <w:top w:val="none" w:sz="0" w:space="0" w:color="auto"/>
        <w:left w:val="none" w:sz="0" w:space="0" w:color="auto"/>
        <w:bottom w:val="none" w:sz="0" w:space="0" w:color="auto"/>
        <w:right w:val="none" w:sz="0" w:space="0" w:color="auto"/>
      </w:divBdr>
    </w:div>
    <w:div w:id="787236618">
      <w:bodyDiv w:val="1"/>
      <w:marLeft w:val="0"/>
      <w:marRight w:val="0"/>
      <w:marTop w:val="0"/>
      <w:marBottom w:val="0"/>
      <w:divBdr>
        <w:top w:val="none" w:sz="0" w:space="0" w:color="auto"/>
        <w:left w:val="none" w:sz="0" w:space="0" w:color="auto"/>
        <w:bottom w:val="none" w:sz="0" w:space="0" w:color="auto"/>
        <w:right w:val="none" w:sz="0" w:space="0" w:color="auto"/>
      </w:divBdr>
      <w:divsChild>
        <w:div w:id="660541916">
          <w:marLeft w:val="600"/>
          <w:marRight w:val="0"/>
          <w:marTop w:val="0"/>
          <w:marBottom w:val="0"/>
          <w:divBdr>
            <w:top w:val="none" w:sz="0" w:space="0" w:color="auto"/>
            <w:left w:val="none" w:sz="0" w:space="0" w:color="auto"/>
            <w:bottom w:val="none" w:sz="0" w:space="0" w:color="auto"/>
            <w:right w:val="none" w:sz="0" w:space="0" w:color="auto"/>
          </w:divBdr>
        </w:div>
      </w:divsChild>
    </w:div>
    <w:div w:id="791705536">
      <w:bodyDiv w:val="1"/>
      <w:marLeft w:val="0"/>
      <w:marRight w:val="0"/>
      <w:marTop w:val="0"/>
      <w:marBottom w:val="0"/>
      <w:divBdr>
        <w:top w:val="none" w:sz="0" w:space="0" w:color="auto"/>
        <w:left w:val="none" w:sz="0" w:space="0" w:color="auto"/>
        <w:bottom w:val="none" w:sz="0" w:space="0" w:color="auto"/>
        <w:right w:val="none" w:sz="0" w:space="0" w:color="auto"/>
      </w:divBdr>
    </w:div>
    <w:div w:id="799608898">
      <w:bodyDiv w:val="1"/>
      <w:marLeft w:val="0"/>
      <w:marRight w:val="0"/>
      <w:marTop w:val="0"/>
      <w:marBottom w:val="0"/>
      <w:divBdr>
        <w:top w:val="none" w:sz="0" w:space="0" w:color="auto"/>
        <w:left w:val="none" w:sz="0" w:space="0" w:color="auto"/>
        <w:bottom w:val="none" w:sz="0" w:space="0" w:color="auto"/>
        <w:right w:val="none" w:sz="0" w:space="0" w:color="auto"/>
      </w:divBdr>
      <w:divsChild>
        <w:div w:id="1189876201">
          <w:marLeft w:val="600"/>
          <w:marRight w:val="0"/>
          <w:marTop w:val="0"/>
          <w:marBottom w:val="0"/>
          <w:divBdr>
            <w:top w:val="none" w:sz="0" w:space="0" w:color="auto"/>
            <w:left w:val="none" w:sz="0" w:space="0" w:color="auto"/>
            <w:bottom w:val="none" w:sz="0" w:space="0" w:color="auto"/>
            <w:right w:val="none" w:sz="0" w:space="0" w:color="auto"/>
          </w:divBdr>
        </w:div>
      </w:divsChild>
    </w:div>
    <w:div w:id="806168935">
      <w:bodyDiv w:val="1"/>
      <w:marLeft w:val="0"/>
      <w:marRight w:val="0"/>
      <w:marTop w:val="0"/>
      <w:marBottom w:val="0"/>
      <w:divBdr>
        <w:top w:val="none" w:sz="0" w:space="0" w:color="auto"/>
        <w:left w:val="none" w:sz="0" w:space="0" w:color="auto"/>
        <w:bottom w:val="none" w:sz="0" w:space="0" w:color="auto"/>
        <w:right w:val="none" w:sz="0" w:space="0" w:color="auto"/>
      </w:divBdr>
    </w:div>
    <w:div w:id="808209393">
      <w:bodyDiv w:val="1"/>
      <w:marLeft w:val="0"/>
      <w:marRight w:val="0"/>
      <w:marTop w:val="0"/>
      <w:marBottom w:val="0"/>
      <w:divBdr>
        <w:top w:val="none" w:sz="0" w:space="0" w:color="auto"/>
        <w:left w:val="none" w:sz="0" w:space="0" w:color="auto"/>
        <w:bottom w:val="none" w:sz="0" w:space="0" w:color="auto"/>
        <w:right w:val="none" w:sz="0" w:space="0" w:color="auto"/>
      </w:divBdr>
      <w:divsChild>
        <w:div w:id="2046367659">
          <w:marLeft w:val="600"/>
          <w:marRight w:val="0"/>
          <w:marTop w:val="0"/>
          <w:marBottom w:val="0"/>
          <w:divBdr>
            <w:top w:val="none" w:sz="0" w:space="0" w:color="auto"/>
            <w:left w:val="none" w:sz="0" w:space="0" w:color="auto"/>
            <w:bottom w:val="none" w:sz="0" w:space="0" w:color="auto"/>
            <w:right w:val="none" w:sz="0" w:space="0" w:color="auto"/>
          </w:divBdr>
        </w:div>
      </w:divsChild>
    </w:div>
    <w:div w:id="831914275">
      <w:bodyDiv w:val="1"/>
      <w:marLeft w:val="0"/>
      <w:marRight w:val="0"/>
      <w:marTop w:val="0"/>
      <w:marBottom w:val="0"/>
      <w:divBdr>
        <w:top w:val="none" w:sz="0" w:space="0" w:color="auto"/>
        <w:left w:val="none" w:sz="0" w:space="0" w:color="auto"/>
        <w:bottom w:val="none" w:sz="0" w:space="0" w:color="auto"/>
        <w:right w:val="none" w:sz="0" w:space="0" w:color="auto"/>
      </w:divBdr>
    </w:div>
    <w:div w:id="878664353">
      <w:bodyDiv w:val="1"/>
      <w:marLeft w:val="0"/>
      <w:marRight w:val="0"/>
      <w:marTop w:val="0"/>
      <w:marBottom w:val="0"/>
      <w:divBdr>
        <w:top w:val="none" w:sz="0" w:space="0" w:color="auto"/>
        <w:left w:val="none" w:sz="0" w:space="0" w:color="auto"/>
        <w:bottom w:val="none" w:sz="0" w:space="0" w:color="auto"/>
        <w:right w:val="none" w:sz="0" w:space="0" w:color="auto"/>
      </w:divBdr>
    </w:div>
    <w:div w:id="90796247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41">
          <w:marLeft w:val="600"/>
          <w:marRight w:val="0"/>
          <w:marTop w:val="0"/>
          <w:marBottom w:val="0"/>
          <w:divBdr>
            <w:top w:val="none" w:sz="0" w:space="0" w:color="auto"/>
            <w:left w:val="none" w:sz="0" w:space="0" w:color="auto"/>
            <w:bottom w:val="none" w:sz="0" w:space="0" w:color="auto"/>
            <w:right w:val="none" w:sz="0" w:space="0" w:color="auto"/>
          </w:divBdr>
        </w:div>
      </w:divsChild>
    </w:div>
    <w:div w:id="935674979">
      <w:bodyDiv w:val="1"/>
      <w:marLeft w:val="0"/>
      <w:marRight w:val="0"/>
      <w:marTop w:val="0"/>
      <w:marBottom w:val="0"/>
      <w:divBdr>
        <w:top w:val="none" w:sz="0" w:space="0" w:color="auto"/>
        <w:left w:val="none" w:sz="0" w:space="0" w:color="auto"/>
        <w:bottom w:val="none" w:sz="0" w:space="0" w:color="auto"/>
        <w:right w:val="none" w:sz="0" w:space="0" w:color="auto"/>
      </w:divBdr>
    </w:div>
    <w:div w:id="939333466">
      <w:bodyDiv w:val="1"/>
      <w:marLeft w:val="0"/>
      <w:marRight w:val="0"/>
      <w:marTop w:val="0"/>
      <w:marBottom w:val="0"/>
      <w:divBdr>
        <w:top w:val="none" w:sz="0" w:space="0" w:color="auto"/>
        <w:left w:val="none" w:sz="0" w:space="0" w:color="auto"/>
        <w:bottom w:val="none" w:sz="0" w:space="0" w:color="auto"/>
        <w:right w:val="none" w:sz="0" w:space="0" w:color="auto"/>
      </w:divBdr>
      <w:divsChild>
        <w:div w:id="812411240">
          <w:marLeft w:val="720"/>
          <w:marRight w:val="0"/>
          <w:marTop w:val="0"/>
          <w:marBottom w:val="0"/>
          <w:divBdr>
            <w:top w:val="none" w:sz="0" w:space="0" w:color="auto"/>
            <w:left w:val="none" w:sz="0" w:space="0" w:color="auto"/>
            <w:bottom w:val="none" w:sz="0" w:space="0" w:color="auto"/>
            <w:right w:val="none" w:sz="0" w:space="0" w:color="auto"/>
          </w:divBdr>
        </w:div>
      </w:divsChild>
    </w:div>
    <w:div w:id="947615926">
      <w:bodyDiv w:val="1"/>
      <w:marLeft w:val="0"/>
      <w:marRight w:val="0"/>
      <w:marTop w:val="0"/>
      <w:marBottom w:val="0"/>
      <w:divBdr>
        <w:top w:val="none" w:sz="0" w:space="0" w:color="auto"/>
        <w:left w:val="none" w:sz="0" w:space="0" w:color="auto"/>
        <w:bottom w:val="none" w:sz="0" w:space="0" w:color="auto"/>
        <w:right w:val="none" w:sz="0" w:space="0" w:color="auto"/>
      </w:divBdr>
    </w:div>
    <w:div w:id="949704123">
      <w:bodyDiv w:val="1"/>
      <w:marLeft w:val="0"/>
      <w:marRight w:val="0"/>
      <w:marTop w:val="0"/>
      <w:marBottom w:val="0"/>
      <w:divBdr>
        <w:top w:val="none" w:sz="0" w:space="0" w:color="auto"/>
        <w:left w:val="none" w:sz="0" w:space="0" w:color="auto"/>
        <w:bottom w:val="none" w:sz="0" w:space="0" w:color="auto"/>
        <w:right w:val="none" w:sz="0" w:space="0" w:color="auto"/>
      </w:divBdr>
    </w:div>
    <w:div w:id="969244544">
      <w:bodyDiv w:val="1"/>
      <w:marLeft w:val="0"/>
      <w:marRight w:val="0"/>
      <w:marTop w:val="0"/>
      <w:marBottom w:val="0"/>
      <w:divBdr>
        <w:top w:val="none" w:sz="0" w:space="0" w:color="auto"/>
        <w:left w:val="none" w:sz="0" w:space="0" w:color="auto"/>
        <w:bottom w:val="none" w:sz="0" w:space="0" w:color="auto"/>
        <w:right w:val="none" w:sz="0" w:space="0" w:color="auto"/>
      </w:divBdr>
      <w:divsChild>
        <w:div w:id="713622276">
          <w:marLeft w:val="600"/>
          <w:marRight w:val="0"/>
          <w:marTop w:val="0"/>
          <w:marBottom w:val="0"/>
          <w:divBdr>
            <w:top w:val="none" w:sz="0" w:space="0" w:color="auto"/>
            <w:left w:val="none" w:sz="0" w:space="0" w:color="auto"/>
            <w:bottom w:val="none" w:sz="0" w:space="0" w:color="auto"/>
            <w:right w:val="none" w:sz="0" w:space="0" w:color="auto"/>
          </w:divBdr>
        </w:div>
      </w:divsChild>
    </w:div>
    <w:div w:id="974064197">
      <w:bodyDiv w:val="1"/>
      <w:marLeft w:val="0"/>
      <w:marRight w:val="0"/>
      <w:marTop w:val="0"/>
      <w:marBottom w:val="0"/>
      <w:divBdr>
        <w:top w:val="none" w:sz="0" w:space="0" w:color="auto"/>
        <w:left w:val="none" w:sz="0" w:space="0" w:color="auto"/>
        <w:bottom w:val="none" w:sz="0" w:space="0" w:color="auto"/>
        <w:right w:val="none" w:sz="0" w:space="0" w:color="auto"/>
      </w:divBdr>
    </w:div>
    <w:div w:id="977419762">
      <w:bodyDiv w:val="1"/>
      <w:marLeft w:val="0"/>
      <w:marRight w:val="0"/>
      <w:marTop w:val="0"/>
      <w:marBottom w:val="0"/>
      <w:divBdr>
        <w:top w:val="none" w:sz="0" w:space="0" w:color="auto"/>
        <w:left w:val="none" w:sz="0" w:space="0" w:color="auto"/>
        <w:bottom w:val="none" w:sz="0" w:space="0" w:color="auto"/>
        <w:right w:val="none" w:sz="0" w:space="0" w:color="auto"/>
      </w:divBdr>
    </w:div>
    <w:div w:id="988829189">
      <w:bodyDiv w:val="1"/>
      <w:marLeft w:val="0"/>
      <w:marRight w:val="0"/>
      <w:marTop w:val="0"/>
      <w:marBottom w:val="0"/>
      <w:divBdr>
        <w:top w:val="none" w:sz="0" w:space="0" w:color="auto"/>
        <w:left w:val="none" w:sz="0" w:space="0" w:color="auto"/>
        <w:bottom w:val="none" w:sz="0" w:space="0" w:color="auto"/>
        <w:right w:val="none" w:sz="0" w:space="0" w:color="auto"/>
      </w:divBdr>
      <w:divsChild>
        <w:div w:id="378555736">
          <w:marLeft w:val="600"/>
          <w:marRight w:val="0"/>
          <w:marTop w:val="0"/>
          <w:marBottom w:val="0"/>
          <w:divBdr>
            <w:top w:val="none" w:sz="0" w:space="0" w:color="auto"/>
            <w:left w:val="none" w:sz="0" w:space="0" w:color="auto"/>
            <w:bottom w:val="none" w:sz="0" w:space="0" w:color="auto"/>
            <w:right w:val="none" w:sz="0" w:space="0" w:color="auto"/>
          </w:divBdr>
        </w:div>
      </w:divsChild>
    </w:div>
    <w:div w:id="995958810">
      <w:bodyDiv w:val="1"/>
      <w:marLeft w:val="0"/>
      <w:marRight w:val="0"/>
      <w:marTop w:val="0"/>
      <w:marBottom w:val="0"/>
      <w:divBdr>
        <w:top w:val="none" w:sz="0" w:space="0" w:color="auto"/>
        <w:left w:val="none" w:sz="0" w:space="0" w:color="auto"/>
        <w:bottom w:val="none" w:sz="0" w:space="0" w:color="auto"/>
        <w:right w:val="none" w:sz="0" w:space="0" w:color="auto"/>
      </w:divBdr>
    </w:div>
    <w:div w:id="1011417121">
      <w:bodyDiv w:val="1"/>
      <w:marLeft w:val="0"/>
      <w:marRight w:val="0"/>
      <w:marTop w:val="0"/>
      <w:marBottom w:val="0"/>
      <w:divBdr>
        <w:top w:val="none" w:sz="0" w:space="0" w:color="auto"/>
        <w:left w:val="none" w:sz="0" w:space="0" w:color="auto"/>
        <w:bottom w:val="none" w:sz="0" w:space="0" w:color="auto"/>
        <w:right w:val="none" w:sz="0" w:space="0" w:color="auto"/>
      </w:divBdr>
    </w:div>
    <w:div w:id="1029335213">
      <w:bodyDiv w:val="1"/>
      <w:marLeft w:val="0"/>
      <w:marRight w:val="0"/>
      <w:marTop w:val="0"/>
      <w:marBottom w:val="0"/>
      <w:divBdr>
        <w:top w:val="none" w:sz="0" w:space="0" w:color="auto"/>
        <w:left w:val="none" w:sz="0" w:space="0" w:color="auto"/>
        <w:bottom w:val="none" w:sz="0" w:space="0" w:color="auto"/>
        <w:right w:val="none" w:sz="0" w:space="0" w:color="auto"/>
      </w:divBdr>
    </w:div>
    <w:div w:id="1030913796">
      <w:bodyDiv w:val="1"/>
      <w:marLeft w:val="0"/>
      <w:marRight w:val="0"/>
      <w:marTop w:val="0"/>
      <w:marBottom w:val="0"/>
      <w:divBdr>
        <w:top w:val="none" w:sz="0" w:space="0" w:color="auto"/>
        <w:left w:val="none" w:sz="0" w:space="0" w:color="auto"/>
        <w:bottom w:val="none" w:sz="0" w:space="0" w:color="auto"/>
        <w:right w:val="none" w:sz="0" w:space="0" w:color="auto"/>
      </w:divBdr>
    </w:div>
    <w:div w:id="1040085053">
      <w:bodyDiv w:val="1"/>
      <w:marLeft w:val="0"/>
      <w:marRight w:val="0"/>
      <w:marTop w:val="0"/>
      <w:marBottom w:val="0"/>
      <w:divBdr>
        <w:top w:val="none" w:sz="0" w:space="0" w:color="auto"/>
        <w:left w:val="none" w:sz="0" w:space="0" w:color="auto"/>
        <w:bottom w:val="none" w:sz="0" w:space="0" w:color="auto"/>
        <w:right w:val="none" w:sz="0" w:space="0" w:color="auto"/>
      </w:divBdr>
    </w:div>
    <w:div w:id="1046484970">
      <w:bodyDiv w:val="1"/>
      <w:marLeft w:val="0"/>
      <w:marRight w:val="0"/>
      <w:marTop w:val="0"/>
      <w:marBottom w:val="0"/>
      <w:divBdr>
        <w:top w:val="none" w:sz="0" w:space="0" w:color="auto"/>
        <w:left w:val="none" w:sz="0" w:space="0" w:color="auto"/>
        <w:bottom w:val="none" w:sz="0" w:space="0" w:color="auto"/>
        <w:right w:val="none" w:sz="0" w:space="0" w:color="auto"/>
      </w:divBdr>
      <w:divsChild>
        <w:div w:id="444885738">
          <w:marLeft w:val="600"/>
          <w:marRight w:val="0"/>
          <w:marTop w:val="0"/>
          <w:marBottom w:val="0"/>
          <w:divBdr>
            <w:top w:val="none" w:sz="0" w:space="0" w:color="auto"/>
            <w:left w:val="none" w:sz="0" w:space="0" w:color="auto"/>
            <w:bottom w:val="none" w:sz="0" w:space="0" w:color="auto"/>
            <w:right w:val="none" w:sz="0" w:space="0" w:color="auto"/>
          </w:divBdr>
        </w:div>
      </w:divsChild>
    </w:div>
    <w:div w:id="1047416399">
      <w:bodyDiv w:val="1"/>
      <w:marLeft w:val="0"/>
      <w:marRight w:val="0"/>
      <w:marTop w:val="0"/>
      <w:marBottom w:val="0"/>
      <w:divBdr>
        <w:top w:val="none" w:sz="0" w:space="0" w:color="auto"/>
        <w:left w:val="none" w:sz="0" w:space="0" w:color="auto"/>
        <w:bottom w:val="none" w:sz="0" w:space="0" w:color="auto"/>
        <w:right w:val="none" w:sz="0" w:space="0" w:color="auto"/>
      </w:divBdr>
    </w:div>
    <w:div w:id="1048261008">
      <w:bodyDiv w:val="1"/>
      <w:marLeft w:val="0"/>
      <w:marRight w:val="0"/>
      <w:marTop w:val="0"/>
      <w:marBottom w:val="0"/>
      <w:divBdr>
        <w:top w:val="none" w:sz="0" w:space="0" w:color="auto"/>
        <w:left w:val="none" w:sz="0" w:space="0" w:color="auto"/>
        <w:bottom w:val="none" w:sz="0" w:space="0" w:color="auto"/>
        <w:right w:val="none" w:sz="0" w:space="0" w:color="auto"/>
      </w:divBdr>
    </w:div>
    <w:div w:id="1050422215">
      <w:bodyDiv w:val="1"/>
      <w:marLeft w:val="0"/>
      <w:marRight w:val="0"/>
      <w:marTop w:val="0"/>
      <w:marBottom w:val="0"/>
      <w:divBdr>
        <w:top w:val="none" w:sz="0" w:space="0" w:color="auto"/>
        <w:left w:val="none" w:sz="0" w:space="0" w:color="auto"/>
        <w:bottom w:val="none" w:sz="0" w:space="0" w:color="auto"/>
        <w:right w:val="none" w:sz="0" w:space="0" w:color="auto"/>
      </w:divBdr>
    </w:div>
    <w:div w:id="1058550321">
      <w:bodyDiv w:val="1"/>
      <w:marLeft w:val="0"/>
      <w:marRight w:val="0"/>
      <w:marTop w:val="0"/>
      <w:marBottom w:val="0"/>
      <w:divBdr>
        <w:top w:val="none" w:sz="0" w:space="0" w:color="auto"/>
        <w:left w:val="none" w:sz="0" w:space="0" w:color="auto"/>
        <w:bottom w:val="none" w:sz="0" w:space="0" w:color="auto"/>
        <w:right w:val="none" w:sz="0" w:space="0" w:color="auto"/>
      </w:divBdr>
      <w:divsChild>
        <w:div w:id="1906527328">
          <w:marLeft w:val="600"/>
          <w:marRight w:val="0"/>
          <w:marTop w:val="0"/>
          <w:marBottom w:val="0"/>
          <w:divBdr>
            <w:top w:val="none" w:sz="0" w:space="0" w:color="auto"/>
            <w:left w:val="none" w:sz="0" w:space="0" w:color="auto"/>
            <w:bottom w:val="none" w:sz="0" w:space="0" w:color="auto"/>
            <w:right w:val="none" w:sz="0" w:space="0" w:color="auto"/>
          </w:divBdr>
          <w:divsChild>
            <w:div w:id="90440273">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7194002">
      <w:bodyDiv w:val="1"/>
      <w:marLeft w:val="0"/>
      <w:marRight w:val="0"/>
      <w:marTop w:val="0"/>
      <w:marBottom w:val="0"/>
      <w:divBdr>
        <w:top w:val="none" w:sz="0" w:space="0" w:color="auto"/>
        <w:left w:val="none" w:sz="0" w:space="0" w:color="auto"/>
        <w:bottom w:val="none" w:sz="0" w:space="0" w:color="auto"/>
        <w:right w:val="none" w:sz="0" w:space="0" w:color="auto"/>
      </w:divBdr>
    </w:div>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 w:id="1081028857">
      <w:bodyDiv w:val="1"/>
      <w:marLeft w:val="0"/>
      <w:marRight w:val="0"/>
      <w:marTop w:val="0"/>
      <w:marBottom w:val="0"/>
      <w:divBdr>
        <w:top w:val="none" w:sz="0" w:space="0" w:color="auto"/>
        <w:left w:val="none" w:sz="0" w:space="0" w:color="auto"/>
        <w:bottom w:val="none" w:sz="0" w:space="0" w:color="auto"/>
        <w:right w:val="none" w:sz="0" w:space="0" w:color="auto"/>
      </w:divBdr>
    </w:div>
    <w:div w:id="1130782553">
      <w:bodyDiv w:val="1"/>
      <w:marLeft w:val="0"/>
      <w:marRight w:val="0"/>
      <w:marTop w:val="0"/>
      <w:marBottom w:val="0"/>
      <w:divBdr>
        <w:top w:val="none" w:sz="0" w:space="0" w:color="auto"/>
        <w:left w:val="none" w:sz="0" w:space="0" w:color="auto"/>
        <w:bottom w:val="none" w:sz="0" w:space="0" w:color="auto"/>
        <w:right w:val="none" w:sz="0" w:space="0" w:color="auto"/>
      </w:divBdr>
    </w:div>
    <w:div w:id="1134298066">
      <w:bodyDiv w:val="1"/>
      <w:marLeft w:val="0"/>
      <w:marRight w:val="0"/>
      <w:marTop w:val="0"/>
      <w:marBottom w:val="0"/>
      <w:divBdr>
        <w:top w:val="none" w:sz="0" w:space="0" w:color="auto"/>
        <w:left w:val="none" w:sz="0" w:space="0" w:color="auto"/>
        <w:bottom w:val="none" w:sz="0" w:space="0" w:color="auto"/>
        <w:right w:val="none" w:sz="0" w:space="0" w:color="auto"/>
      </w:divBdr>
      <w:divsChild>
        <w:div w:id="1620600494">
          <w:marLeft w:val="600"/>
          <w:marRight w:val="0"/>
          <w:marTop w:val="0"/>
          <w:marBottom w:val="0"/>
          <w:divBdr>
            <w:top w:val="none" w:sz="0" w:space="0" w:color="auto"/>
            <w:left w:val="none" w:sz="0" w:space="0" w:color="auto"/>
            <w:bottom w:val="none" w:sz="0" w:space="0" w:color="auto"/>
            <w:right w:val="none" w:sz="0" w:space="0" w:color="auto"/>
          </w:divBdr>
          <w:divsChild>
            <w:div w:id="15715751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42504097">
      <w:bodyDiv w:val="1"/>
      <w:marLeft w:val="0"/>
      <w:marRight w:val="0"/>
      <w:marTop w:val="0"/>
      <w:marBottom w:val="0"/>
      <w:divBdr>
        <w:top w:val="none" w:sz="0" w:space="0" w:color="auto"/>
        <w:left w:val="none" w:sz="0" w:space="0" w:color="auto"/>
        <w:bottom w:val="none" w:sz="0" w:space="0" w:color="auto"/>
        <w:right w:val="none" w:sz="0" w:space="0" w:color="auto"/>
      </w:divBdr>
    </w:div>
    <w:div w:id="1142693709">
      <w:bodyDiv w:val="1"/>
      <w:marLeft w:val="0"/>
      <w:marRight w:val="0"/>
      <w:marTop w:val="0"/>
      <w:marBottom w:val="0"/>
      <w:divBdr>
        <w:top w:val="none" w:sz="0" w:space="0" w:color="auto"/>
        <w:left w:val="none" w:sz="0" w:space="0" w:color="auto"/>
        <w:bottom w:val="none" w:sz="0" w:space="0" w:color="auto"/>
        <w:right w:val="none" w:sz="0" w:space="0" w:color="auto"/>
      </w:divBdr>
    </w:div>
    <w:div w:id="1143237729">
      <w:bodyDiv w:val="1"/>
      <w:marLeft w:val="0"/>
      <w:marRight w:val="0"/>
      <w:marTop w:val="0"/>
      <w:marBottom w:val="0"/>
      <w:divBdr>
        <w:top w:val="none" w:sz="0" w:space="0" w:color="auto"/>
        <w:left w:val="none" w:sz="0" w:space="0" w:color="auto"/>
        <w:bottom w:val="none" w:sz="0" w:space="0" w:color="auto"/>
        <w:right w:val="none" w:sz="0" w:space="0" w:color="auto"/>
      </w:divBdr>
    </w:div>
    <w:div w:id="1164051106">
      <w:bodyDiv w:val="1"/>
      <w:marLeft w:val="0"/>
      <w:marRight w:val="0"/>
      <w:marTop w:val="0"/>
      <w:marBottom w:val="0"/>
      <w:divBdr>
        <w:top w:val="none" w:sz="0" w:space="0" w:color="auto"/>
        <w:left w:val="none" w:sz="0" w:space="0" w:color="auto"/>
        <w:bottom w:val="none" w:sz="0" w:space="0" w:color="auto"/>
        <w:right w:val="none" w:sz="0" w:space="0" w:color="auto"/>
      </w:divBdr>
      <w:divsChild>
        <w:div w:id="2029599183">
          <w:marLeft w:val="600"/>
          <w:marRight w:val="0"/>
          <w:marTop w:val="0"/>
          <w:marBottom w:val="0"/>
          <w:divBdr>
            <w:top w:val="none" w:sz="0" w:space="0" w:color="auto"/>
            <w:left w:val="none" w:sz="0" w:space="0" w:color="auto"/>
            <w:bottom w:val="none" w:sz="0" w:space="0" w:color="auto"/>
            <w:right w:val="none" w:sz="0" w:space="0" w:color="auto"/>
          </w:divBdr>
        </w:div>
      </w:divsChild>
    </w:div>
    <w:div w:id="1167018312">
      <w:bodyDiv w:val="1"/>
      <w:marLeft w:val="0"/>
      <w:marRight w:val="0"/>
      <w:marTop w:val="0"/>
      <w:marBottom w:val="0"/>
      <w:divBdr>
        <w:top w:val="none" w:sz="0" w:space="0" w:color="auto"/>
        <w:left w:val="none" w:sz="0" w:space="0" w:color="auto"/>
        <w:bottom w:val="none" w:sz="0" w:space="0" w:color="auto"/>
        <w:right w:val="none" w:sz="0" w:space="0" w:color="auto"/>
      </w:divBdr>
    </w:div>
    <w:div w:id="1167287146">
      <w:bodyDiv w:val="1"/>
      <w:marLeft w:val="0"/>
      <w:marRight w:val="0"/>
      <w:marTop w:val="0"/>
      <w:marBottom w:val="0"/>
      <w:divBdr>
        <w:top w:val="none" w:sz="0" w:space="0" w:color="auto"/>
        <w:left w:val="none" w:sz="0" w:space="0" w:color="auto"/>
        <w:bottom w:val="none" w:sz="0" w:space="0" w:color="auto"/>
        <w:right w:val="none" w:sz="0" w:space="0" w:color="auto"/>
      </w:divBdr>
      <w:divsChild>
        <w:div w:id="1795321782">
          <w:marLeft w:val="600"/>
          <w:marRight w:val="0"/>
          <w:marTop w:val="0"/>
          <w:marBottom w:val="0"/>
          <w:divBdr>
            <w:top w:val="none" w:sz="0" w:space="0" w:color="auto"/>
            <w:left w:val="none" w:sz="0" w:space="0" w:color="auto"/>
            <w:bottom w:val="none" w:sz="0" w:space="0" w:color="auto"/>
            <w:right w:val="none" w:sz="0" w:space="0" w:color="auto"/>
          </w:divBdr>
        </w:div>
      </w:divsChild>
    </w:div>
    <w:div w:id="1171067962">
      <w:bodyDiv w:val="1"/>
      <w:marLeft w:val="0"/>
      <w:marRight w:val="0"/>
      <w:marTop w:val="0"/>
      <w:marBottom w:val="0"/>
      <w:divBdr>
        <w:top w:val="none" w:sz="0" w:space="0" w:color="auto"/>
        <w:left w:val="none" w:sz="0" w:space="0" w:color="auto"/>
        <w:bottom w:val="none" w:sz="0" w:space="0" w:color="auto"/>
        <w:right w:val="none" w:sz="0" w:space="0" w:color="auto"/>
      </w:divBdr>
    </w:div>
    <w:div w:id="1183859940">
      <w:bodyDiv w:val="1"/>
      <w:marLeft w:val="0"/>
      <w:marRight w:val="0"/>
      <w:marTop w:val="0"/>
      <w:marBottom w:val="0"/>
      <w:divBdr>
        <w:top w:val="none" w:sz="0" w:space="0" w:color="auto"/>
        <w:left w:val="none" w:sz="0" w:space="0" w:color="auto"/>
        <w:bottom w:val="none" w:sz="0" w:space="0" w:color="auto"/>
        <w:right w:val="none" w:sz="0" w:space="0" w:color="auto"/>
      </w:divBdr>
      <w:divsChild>
        <w:div w:id="1820681885">
          <w:marLeft w:val="600"/>
          <w:marRight w:val="0"/>
          <w:marTop w:val="0"/>
          <w:marBottom w:val="0"/>
          <w:divBdr>
            <w:top w:val="none" w:sz="0" w:space="0" w:color="auto"/>
            <w:left w:val="none" w:sz="0" w:space="0" w:color="auto"/>
            <w:bottom w:val="none" w:sz="0" w:space="0" w:color="auto"/>
            <w:right w:val="none" w:sz="0" w:space="0" w:color="auto"/>
          </w:divBdr>
        </w:div>
      </w:divsChild>
    </w:div>
    <w:div w:id="1190072960">
      <w:bodyDiv w:val="1"/>
      <w:marLeft w:val="0"/>
      <w:marRight w:val="0"/>
      <w:marTop w:val="0"/>
      <w:marBottom w:val="0"/>
      <w:divBdr>
        <w:top w:val="none" w:sz="0" w:space="0" w:color="auto"/>
        <w:left w:val="none" w:sz="0" w:space="0" w:color="auto"/>
        <w:bottom w:val="none" w:sz="0" w:space="0" w:color="auto"/>
        <w:right w:val="none" w:sz="0" w:space="0" w:color="auto"/>
      </w:divBdr>
      <w:divsChild>
        <w:div w:id="1502233653">
          <w:marLeft w:val="600"/>
          <w:marRight w:val="0"/>
          <w:marTop w:val="0"/>
          <w:marBottom w:val="0"/>
          <w:divBdr>
            <w:top w:val="none" w:sz="0" w:space="0" w:color="auto"/>
            <w:left w:val="none" w:sz="0" w:space="0" w:color="auto"/>
            <w:bottom w:val="none" w:sz="0" w:space="0" w:color="auto"/>
            <w:right w:val="none" w:sz="0" w:space="0" w:color="auto"/>
          </w:divBdr>
        </w:div>
      </w:divsChild>
    </w:div>
    <w:div w:id="1197347632">
      <w:bodyDiv w:val="1"/>
      <w:marLeft w:val="0"/>
      <w:marRight w:val="0"/>
      <w:marTop w:val="0"/>
      <w:marBottom w:val="0"/>
      <w:divBdr>
        <w:top w:val="none" w:sz="0" w:space="0" w:color="auto"/>
        <w:left w:val="none" w:sz="0" w:space="0" w:color="auto"/>
        <w:bottom w:val="none" w:sz="0" w:space="0" w:color="auto"/>
        <w:right w:val="none" w:sz="0" w:space="0" w:color="auto"/>
      </w:divBdr>
    </w:div>
    <w:div w:id="1204710513">
      <w:bodyDiv w:val="1"/>
      <w:marLeft w:val="0"/>
      <w:marRight w:val="0"/>
      <w:marTop w:val="0"/>
      <w:marBottom w:val="0"/>
      <w:divBdr>
        <w:top w:val="none" w:sz="0" w:space="0" w:color="auto"/>
        <w:left w:val="none" w:sz="0" w:space="0" w:color="auto"/>
        <w:bottom w:val="none" w:sz="0" w:space="0" w:color="auto"/>
        <w:right w:val="none" w:sz="0" w:space="0" w:color="auto"/>
      </w:divBdr>
    </w:div>
    <w:div w:id="1206217198">
      <w:bodyDiv w:val="1"/>
      <w:marLeft w:val="0"/>
      <w:marRight w:val="0"/>
      <w:marTop w:val="0"/>
      <w:marBottom w:val="0"/>
      <w:divBdr>
        <w:top w:val="none" w:sz="0" w:space="0" w:color="auto"/>
        <w:left w:val="none" w:sz="0" w:space="0" w:color="auto"/>
        <w:bottom w:val="none" w:sz="0" w:space="0" w:color="auto"/>
        <w:right w:val="none" w:sz="0" w:space="0" w:color="auto"/>
      </w:divBdr>
    </w:div>
    <w:div w:id="1214611077">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1">
          <w:marLeft w:val="480"/>
          <w:marRight w:val="0"/>
          <w:marTop w:val="0"/>
          <w:marBottom w:val="0"/>
          <w:divBdr>
            <w:top w:val="none" w:sz="0" w:space="0" w:color="auto"/>
            <w:left w:val="none" w:sz="0" w:space="0" w:color="auto"/>
            <w:bottom w:val="none" w:sz="0" w:space="0" w:color="auto"/>
            <w:right w:val="none" w:sz="0" w:space="0" w:color="auto"/>
          </w:divBdr>
        </w:div>
      </w:divsChild>
    </w:div>
    <w:div w:id="1228154331">
      <w:bodyDiv w:val="1"/>
      <w:marLeft w:val="0"/>
      <w:marRight w:val="0"/>
      <w:marTop w:val="0"/>
      <w:marBottom w:val="0"/>
      <w:divBdr>
        <w:top w:val="none" w:sz="0" w:space="0" w:color="auto"/>
        <w:left w:val="none" w:sz="0" w:space="0" w:color="auto"/>
        <w:bottom w:val="none" w:sz="0" w:space="0" w:color="auto"/>
        <w:right w:val="none" w:sz="0" w:space="0" w:color="auto"/>
      </w:divBdr>
    </w:div>
    <w:div w:id="1252012452">
      <w:bodyDiv w:val="1"/>
      <w:marLeft w:val="0"/>
      <w:marRight w:val="0"/>
      <w:marTop w:val="0"/>
      <w:marBottom w:val="0"/>
      <w:divBdr>
        <w:top w:val="none" w:sz="0" w:space="0" w:color="auto"/>
        <w:left w:val="none" w:sz="0" w:space="0" w:color="auto"/>
        <w:bottom w:val="none" w:sz="0" w:space="0" w:color="auto"/>
        <w:right w:val="none" w:sz="0" w:space="0" w:color="auto"/>
      </w:divBdr>
    </w:div>
    <w:div w:id="1259942445">
      <w:bodyDiv w:val="1"/>
      <w:marLeft w:val="0"/>
      <w:marRight w:val="0"/>
      <w:marTop w:val="0"/>
      <w:marBottom w:val="0"/>
      <w:divBdr>
        <w:top w:val="none" w:sz="0" w:space="0" w:color="auto"/>
        <w:left w:val="none" w:sz="0" w:space="0" w:color="auto"/>
        <w:bottom w:val="none" w:sz="0" w:space="0" w:color="auto"/>
        <w:right w:val="none" w:sz="0" w:space="0" w:color="auto"/>
      </w:divBdr>
    </w:div>
    <w:div w:id="1263684063">
      <w:bodyDiv w:val="1"/>
      <w:marLeft w:val="0"/>
      <w:marRight w:val="0"/>
      <w:marTop w:val="0"/>
      <w:marBottom w:val="0"/>
      <w:divBdr>
        <w:top w:val="none" w:sz="0" w:space="0" w:color="auto"/>
        <w:left w:val="none" w:sz="0" w:space="0" w:color="auto"/>
        <w:bottom w:val="none" w:sz="0" w:space="0" w:color="auto"/>
        <w:right w:val="none" w:sz="0" w:space="0" w:color="auto"/>
      </w:divBdr>
    </w:div>
    <w:div w:id="1278178983">
      <w:bodyDiv w:val="1"/>
      <w:marLeft w:val="0"/>
      <w:marRight w:val="0"/>
      <w:marTop w:val="0"/>
      <w:marBottom w:val="0"/>
      <w:divBdr>
        <w:top w:val="none" w:sz="0" w:space="0" w:color="auto"/>
        <w:left w:val="none" w:sz="0" w:space="0" w:color="auto"/>
        <w:bottom w:val="none" w:sz="0" w:space="0" w:color="auto"/>
        <w:right w:val="none" w:sz="0" w:space="0" w:color="auto"/>
      </w:divBdr>
    </w:div>
    <w:div w:id="1301768031">
      <w:bodyDiv w:val="1"/>
      <w:marLeft w:val="0"/>
      <w:marRight w:val="0"/>
      <w:marTop w:val="0"/>
      <w:marBottom w:val="0"/>
      <w:divBdr>
        <w:top w:val="none" w:sz="0" w:space="0" w:color="auto"/>
        <w:left w:val="none" w:sz="0" w:space="0" w:color="auto"/>
        <w:bottom w:val="none" w:sz="0" w:space="0" w:color="auto"/>
        <w:right w:val="none" w:sz="0" w:space="0" w:color="auto"/>
      </w:divBdr>
    </w:div>
    <w:div w:id="1301880829">
      <w:bodyDiv w:val="1"/>
      <w:marLeft w:val="0"/>
      <w:marRight w:val="0"/>
      <w:marTop w:val="0"/>
      <w:marBottom w:val="0"/>
      <w:divBdr>
        <w:top w:val="none" w:sz="0" w:space="0" w:color="auto"/>
        <w:left w:val="none" w:sz="0" w:space="0" w:color="auto"/>
        <w:bottom w:val="none" w:sz="0" w:space="0" w:color="auto"/>
        <w:right w:val="none" w:sz="0" w:space="0" w:color="auto"/>
      </w:divBdr>
    </w:div>
    <w:div w:id="1302660251">
      <w:bodyDiv w:val="1"/>
      <w:marLeft w:val="0"/>
      <w:marRight w:val="0"/>
      <w:marTop w:val="0"/>
      <w:marBottom w:val="0"/>
      <w:divBdr>
        <w:top w:val="none" w:sz="0" w:space="0" w:color="auto"/>
        <w:left w:val="none" w:sz="0" w:space="0" w:color="auto"/>
        <w:bottom w:val="none" w:sz="0" w:space="0" w:color="auto"/>
        <w:right w:val="none" w:sz="0" w:space="0" w:color="auto"/>
      </w:divBdr>
    </w:div>
    <w:div w:id="1306277059">
      <w:bodyDiv w:val="1"/>
      <w:marLeft w:val="0"/>
      <w:marRight w:val="0"/>
      <w:marTop w:val="0"/>
      <w:marBottom w:val="0"/>
      <w:divBdr>
        <w:top w:val="none" w:sz="0" w:space="0" w:color="auto"/>
        <w:left w:val="none" w:sz="0" w:space="0" w:color="auto"/>
        <w:bottom w:val="none" w:sz="0" w:space="0" w:color="auto"/>
        <w:right w:val="none" w:sz="0" w:space="0" w:color="auto"/>
      </w:divBdr>
    </w:div>
    <w:div w:id="1308434415">
      <w:bodyDiv w:val="1"/>
      <w:marLeft w:val="0"/>
      <w:marRight w:val="0"/>
      <w:marTop w:val="0"/>
      <w:marBottom w:val="0"/>
      <w:divBdr>
        <w:top w:val="none" w:sz="0" w:space="0" w:color="auto"/>
        <w:left w:val="none" w:sz="0" w:space="0" w:color="auto"/>
        <w:bottom w:val="none" w:sz="0" w:space="0" w:color="auto"/>
        <w:right w:val="none" w:sz="0" w:space="0" w:color="auto"/>
      </w:divBdr>
    </w:div>
    <w:div w:id="1316371317">
      <w:bodyDiv w:val="1"/>
      <w:marLeft w:val="0"/>
      <w:marRight w:val="0"/>
      <w:marTop w:val="0"/>
      <w:marBottom w:val="0"/>
      <w:divBdr>
        <w:top w:val="none" w:sz="0" w:space="0" w:color="auto"/>
        <w:left w:val="none" w:sz="0" w:space="0" w:color="auto"/>
        <w:bottom w:val="none" w:sz="0" w:space="0" w:color="auto"/>
        <w:right w:val="none" w:sz="0" w:space="0" w:color="auto"/>
      </w:divBdr>
      <w:divsChild>
        <w:div w:id="1962564904">
          <w:marLeft w:val="720"/>
          <w:marRight w:val="0"/>
          <w:marTop w:val="0"/>
          <w:marBottom w:val="0"/>
          <w:divBdr>
            <w:top w:val="none" w:sz="0" w:space="0" w:color="auto"/>
            <w:left w:val="none" w:sz="0" w:space="0" w:color="auto"/>
            <w:bottom w:val="none" w:sz="0" w:space="0" w:color="auto"/>
            <w:right w:val="none" w:sz="0" w:space="0" w:color="auto"/>
          </w:divBdr>
        </w:div>
      </w:divsChild>
    </w:div>
    <w:div w:id="1317878915">
      <w:bodyDiv w:val="1"/>
      <w:marLeft w:val="0"/>
      <w:marRight w:val="0"/>
      <w:marTop w:val="0"/>
      <w:marBottom w:val="0"/>
      <w:divBdr>
        <w:top w:val="none" w:sz="0" w:space="0" w:color="auto"/>
        <w:left w:val="none" w:sz="0" w:space="0" w:color="auto"/>
        <w:bottom w:val="none" w:sz="0" w:space="0" w:color="auto"/>
        <w:right w:val="none" w:sz="0" w:space="0" w:color="auto"/>
      </w:divBdr>
    </w:div>
    <w:div w:id="1319963366">
      <w:bodyDiv w:val="1"/>
      <w:marLeft w:val="0"/>
      <w:marRight w:val="0"/>
      <w:marTop w:val="0"/>
      <w:marBottom w:val="0"/>
      <w:divBdr>
        <w:top w:val="none" w:sz="0" w:space="0" w:color="auto"/>
        <w:left w:val="none" w:sz="0" w:space="0" w:color="auto"/>
        <w:bottom w:val="none" w:sz="0" w:space="0" w:color="auto"/>
        <w:right w:val="none" w:sz="0" w:space="0" w:color="auto"/>
      </w:divBdr>
    </w:div>
    <w:div w:id="1323242427">
      <w:bodyDiv w:val="1"/>
      <w:marLeft w:val="0"/>
      <w:marRight w:val="0"/>
      <w:marTop w:val="0"/>
      <w:marBottom w:val="0"/>
      <w:divBdr>
        <w:top w:val="none" w:sz="0" w:space="0" w:color="auto"/>
        <w:left w:val="none" w:sz="0" w:space="0" w:color="auto"/>
        <w:bottom w:val="none" w:sz="0" w:space="0" w:color="auto"/>
        <w:right w:val="none" w:sz="0" w:space="0" w:color="auto"/>
      </w:divBdr>
    </w:div>
    <w:div w:id="1330517822">
      <w:bodyDiv w:val="1"/>
      <w:marLeft w:val="0"/>
      <w:marRight w:val="0"/>
      <w:marTop w:val="0"/>
      <w:marBottom w:val="0"/>
      <w:divBdr>
        <w:top w:val="none" w:sz="0" w:space="0" w:color="auto"/>
        <w:left w:val="none" w:sz="0" w:space="0" w:color="auto"/>
        <w:bottom w:val="none" w:sz="0" w:space="0" w:color="auto"/>
        <w:right w:val="none" w:sz="0" w:space="0" w:color="auto"/>
      </w:divBdr>
    </w:div>
    <w:div w:id="1368485712">
      <w:bodyDiv w:val="1"/>
      <w:marLeft w:val="0"/>
      <w:marRight w:val="0"/>
      <w:marTop w:val="0"/>
      <w:marBottom w:val="0"/>
      <w:divBdr>
        <w:top w:val="none" w:sz="0" w:space="0" w:color="auto"/>
        <w:left w:val="none" w:sz="0" w:space="0" w:color="auto"/>
        <w:bottom w:val="none" w:sz="0" w:space="0" w:color="auto"/>
        <w:right w:val="none" w:sz="0" w:space="0" w:color="auto"/>
      </w:divBdr>
    </w:div>
    <w:div w:id="1370911835">
      <w:bodyDiv w:val="1"/>
      <w:marLeft w:val="0"/>
      <w:marRight w:val="0"/>
      <w:marTop w:val="0"/>
      <w:marBottom w:val="0"/>
      <w:divBdr>
        <w:top w:val="none" w:sz="0" w:space="0" w:color="auto"/>
        <w:left w:val="none" w:sz="0" w:space="0" w:color="auto"/>
        <w:bottom w:val="none" w:sz="0" w:space="0" w:color="auto"/>
        <w:right w:val="none" w:sz="0" w:space="0" w:color="auto"/>
      </w:divBdr>
      <w:divsChild>
        <w:div w:id="112136385">
          <w:marLeft w:val="600"/>
          <w:marRight w:val="0"/>
          <w:marTop w:val="0"/>
          <w:marBottom w:val="0"/>
          <w:divBdr>
            <w:top w:val="none" w:sz="0" w:space="0" w:color="auto"/>
            <w:left w:val="none" w:sz="0" w:space="0" w:color="auto"/>
            <w:bottom w:val="none" w:sz="0" w:space="0" w:color="auto"/>
            <w:right w:val="none" w:sz="0" w:space="0" w:color="auto"/>
          </w:divBdr>
        </w:div>
      </w:divsChild>
    </w:div>
    <w:div w:id="1374773920">
      <w:bodyDiv w:val="1"/>
      <w:marLeft w:val="0"/>
      <w:marRight w:val="0"/>
      <w:marTop w:val="0"/>
      <w:marBottom w:val="0"/>
      <w:divBdr>
        <w:top w:val="none" w:sz="0" w:space="0" w:color="auto"/>
        <w:left w:val="none" w:sz="0" w:space="0" w:color="auto"/>
        <w:bottom w:val="none" w:sz="0" w:space="0" w:color="auto"/>
        <w:right w:val="none" w:sz="0" w:space="0" w:color="auto"/>
      </w:divBdr>
    </w:div>
    <w:div w:id="1377508275">
      <w:bodyDiv w:val="1"/>
      <w:marLeft w:val="0"/>
      <w:marRight w:val="0"/>
      <w:marTop w:val="0"/>
      <w:marBottom w:val="0"/>
      <w:divBdr>
        <w:top w:val="none" w:sz="0" w:space="0" w:color="auto"/>
        <w:left w:val="none" w:sz="0" w:space="0" w:color="auto"/>
        <w:bottom w:val="none" w:sz="0" w:space="0" w:color="auto"/>
        <w:right w:val="none" w:sz="0" w:space="0" w:color="auto"/>
      </w:divBdr>
    </w:div>
    <w:div w:id="1386952958">
      <w:bodyDiv w:val="1"/>
      <w:marLeft w:val="0"/>
      <w:marRight w:val="0"/>
      <w:marTop w:val="0"/>
      <w:marBottom w:val="0"/>
      <w:divBdr>
        <w:top w:val="none" w:sz="0" w:space="0" w:color="auto"/>
        <w:left w:val="none" w:sz="0" w:space="0" w:color="auto"/>
        <w:bottom w:val="none" w:sz="0" w:space="0" w:color="auto"/>
        <w:right w:val="none" w:sz="0" w:space="0" w:color="auto"/>
      </w:divBdr>
    </w:div>
    <w:div w:id="1388458241">
      <w:bodyDiv w:val="1"/>
      <w:marLeft w:val="0"/>
      <w:marRight w:val="0"/>
      <w:marTop w:val="0"/>
      <w:marBottom w:val="0"/>
      <w:divBdr>
        <w:top w:val="none" w:sz="0" w:space="0" w:color="auto"/>
        <w:left w:val="none" w:sz="0" w:space="0" w:color="auto"/>
        <w:bottom w:val="none" w:sz="0" w:space="0" w:color="auto"/>
        <w:right w:val="none" w:sz="0" w:space="0" w:color="auto"/>
      </w:divBdr>
    </w:div>
    <w:div w:id="1390763275">
      <w:bodyDiv w:val="1"/>
      <w:marLeft w:val="0"/>
      <w:marRight w:val="0"/>
      <w:marTop w:val="0"/>
      <w:marBottom w:val="0"/>
      <w:divBdr>
        <w:top w:val="none" w:sz="0" w:space="0" w:color="auto"/>
        <w:left w:val="none" w:sz="0" w:space="0" w:color="auto"/>
        <w:bottom w:val="none" w:sz="0" w:space="0" w:color="auto"/>
        <w:right w:val="none" w:sz="0" w:space="0" w:color="auto"/>
      </w:divBdr>
    </w:div>
    <w:div w:id="1395468126">
      <w:bodyDiv w:val="1"/>
      <w:marLeft w:val="0"/>
      <w:marRight w:val="0"/>
      <w:marTop w:val="0"/>
      <w:marBottom w:val="0"/>
      <w:divBdr>
        <w:top w:val="none" w:sz="0" w:space="0" w:color="auto"/>
        <w:left w:val="none" w:sz="0" w:space="0" w:color="auto"/>
        <w:bottom w:val="none" w:sz="0" w:space="0" w:color="auto"/>
        <w:right w:val="none" w:sz="0" w:space="0" w:color="auto"/>
      </w:divBdr>
    </w:div>
    <w:div w:id="1398279193">
      <w:bodyDiv w:val="1"/>
      <w:marLeft w:val="0"/>
      <w:marRight w:val="0"/>
      <w:marTop w:val="0"/>
      <w:marBottom w:val="0"/>
      <w:divBdr>
        <w:top w:val="none" w:sz="0" w:space="0" w:color="auto"/>
        <w:left w:val="none" w:sz="0" w:space="0" w:color="auto"/>
        <w:bottom w:val="none" w:sz="0" w:space="0" w:color="auto"/>
        <w:right w:val="none" w:sz="0" w:space="0" w:color="auto"/>
      </w:divBdr>
    </w:div>
    <w:div w:id="1411853143">
      <w:bodyDiv w:val="1"/>
      <w:marLeft w:val="0"/>
      <w:marRight w:val="0"/>
      <w:marTop w:val="0"/>
      <w:marBottom w:val="0"/>
      <w:divBdr>
        <w:top w:val="none" w:sz="0" w:space="0" w:color="auto"/>
        <w:left w:val="none" w:sz="0" w:space="0" w:color="auto"/>
        <w:bottom w:val="none" w:sz="0" w:space="0" w:color="auto"/>
        <w:right w:val="none" w:sz="0" w:space="0" w:color="auto"/>
      </w:divBdr>
    </w:div>
    <w:div w:id="1417246559">
      <w:bodyDiv w:val="1"/>
      <w:marLeft w:val="0"/>
      <w:marRight w:val="0"/>
      <w:marTop w:val="0"/>
      <w:marBottom w:val="0"/>
      <w:divBdr>
        <w:top w:val="none" w:sz="0" w:space="0" w:color="auto"/>
        <w:left w:val="none" w:sz="0" w:space="0" w:color="auto"/>
        <w:bottom w:val="none" w:sz="0" w:space="0" w:color="auto"/>
        <w:right w:val="none" w:sz="0" w:space="0" w:color="auto"/>
      </w:divBdr>
    </w:div>
    <w:div w:id="1427657304">
      <w:bodyDiv w:val="1"/>
      <w:marLeft w:val="0"/>
      <w:marRight w:val="0"/>
      <w:marTop w:val="0"/>
      <w:marBottom w:val="0"/>
      <w:divBdr>
        <w:top w:val="none" w:sz="0" w:space="0" w:color="auto"/>
        <w:left w:val="none" w:sz="0" w:space="0" w:color="auto"/>
        <w:bottom w:val="none" w:sz="0" w:space="0" w:color="auto"/>
        <w:right w:val="none" w:sz="0" w:space="0" w:color="auto"/>
      </w:divBdr>
    </w:div>
    <w:div w:id="1435203961">
      <w:bodyDiv w:val="1"/>
      <w:marLeft w:val="0"/>
      <w:marRight w:val="0"/>
      <w:marTop w:val="0"/>
      <w:marBottom w:val="0"/>
      <w:divBdr>
        <w:top w:val="none" w:sz="0" w:space="0" w:color="auto"/>
        <w:left w:val="none" w:sz="0" w:space="0" w:color="auto"/>
        <w:bottom w:val="none" w:sz="0" w:space="0" w:color="auto"/>
        <w:right w:val="none" w:sz="0" w:space="0" w:color="auto"/>
      </w:divBdr>
    </w:div>
    <w:div w:id="1470712065">
      <w:bodyDiv w:val="1"/>
      <w:marLeft w:val="0"/>
      <w:marRight w:val="0"/>
      <w:marTop w:val="0"/>
      <w:marBottom w:val="0"/>
      <w:divBdr>
        <w:top w:val="none" w:sz="0" w:space="0" w:color="auto"/>
        <w:left w:val="none" w:sz="0" w:space="0" w:color="auto"/>
        <w:bottom w:val="none" w:sz="0" w:space="0" w:color="auto"/>
        <w:right w:val="none" w:sz="0" w:space="0" w:color="auto"/>
      </w:divBdr>
      <w:divsChild>
        <w:div w:id="610280383">
          <w:marLeft w:val="600"/>
          <w:marRight w:val="0"/>
          <w:marTop w:val="0"/>
          <w:marBottom w:val="0"/>
          <w:divBdr>
            <w:top w:val="none" w:sz="0" w:space="0" w:color="auto"/>
            <w:left w:val="none" w:sz="0" w:space="0" w:color="auto"/>
            <w:bottom w:val="none" w:sz="0" w:space="0" w:color="auto"/>
            <w:right w:val="none" w:sz="0" w:space="0" w:color="auto"/>
          </w:divBdr>
        </w:div>
      </w:divsChild>
    </w:div>
    <w:div w:id="1487670645">
      <w:bodyDiv w:val="1"/>
      <w:marLeft w:val="0"/>
      <w:marRight w:val="0"/>
      <w:marTop w:val="0"/>
      <w:marBottom w:val="0"/>
      <w:divBdr>
        <w:top w:val="none" w:sz="0" w:space="0" w:color="auto"/>
        <w:left w:val="none" w:sz="0" w:space="0" w:color="auto"/>
        <w:bottom w:val="none" w:sz="0" w:space="0" w:color="auto"/>
        <w:right w:val="none" w:sz="0" w:space="0" w:color="auto"/>
      </w:divBdr>
    </w:div>
    <w:div w:id="1492989791">
      <w:bodyDiv w:val="1"/>
      <w:marLeft w:val="0"/>
      <w:marRight w:val="0"/>
      <w:marTop w:val="0"/>
      <w:marBottom w:val="0"/>
      <w:divBdr>
        <w:top w:val="none" w:sz="0" w:space="0" w:color="auto"/>
        <w:left w:val="none" w:sz="0" w:space="0" w:color="auto"/>
        <w:bottom w:val="none" w:sz="0" w:space="0" w:color="auto"/>
        <w:right w:val="none" w:sz="0" w:space="0" w:color="auto"/>
      </w:divBdr>
    </w:div>
    <w:div w:id="1499809912">
      <w:bodyDiv w:val="1"/>
      <w:marLeft w:val="0"/>
      <w:marRight w:val="0"/>
      <w:marTop w:val="0"/>
      <w:marBottom w:val="0"/>
      <w:divBdr>
        <w:top w:val="none" w:sz="0" w:space="0" w:color="auto"/>
        <w:left w:val="none" w:sz="0" w:space="0" w:color="auto"/>
        <w:bottom w:val="none" w:sz="0" w:space="0" w:color="auto"/>
        <w:right w:val="none" w:sz="0" w:space="0" w:color="auto"/>
      </w:divBdr>
    </w:div>
    <w:div w:id="1502507162">
      <w:bodyDiv w:val="1"/>
      <w:marLeft w:val="0"/>
      <w:marRight w:val="0"/>
      <w:marTop w:val="0"/>
      <w:marBottom w:val="0"/>
      <w:divBdr>
        <w:top w:val="none" w:sz="0" w:space="0" w:color="auto"/>
        <w:left w:val="none" w:sz="0" w:space="0" w:color="auto"/>
        <w:bottom w:val="none" w:sz="0" w:space="0" w:color="auto"/>
        <w:right w:val="none" w:sz="0" w:space="0" w:color="auto"/>
      </w:divBdr>
      <w:divsChild>
        <w:div w:id="168378255">
          <w:marLeft w:val="600"/>
          <w:marRight w:val="0"/>
          <w:marTop w:val="0"/>
          <w:marBottom w:val="0"/>
          <w:divBdr>
            <w:top w:val="none" w:sz="0" w:space="0" w:color="auto"/>
            <w:left w:val="none" w:sz="0" w:space="0" w:color="auto"/>
            <w:bottom w:val="none" w:sz="0" w:space="0" w:color="auto"/>
            <w:right w:val="none" w:sz="0" w:space="0" w:color="auto"/>
          </w:divBdr>
        </w:div>
      </w:divsChild>
    </w:div>
    <w:div w:id="1509635111">
      <w:bodyDiv w:val="1"/>
      <w:marLeft w:val="0"/>
      <w:marRight w:val="0"/>
      <w:marTop w:val="0"/>
      <w:marBottom w:val="0"/>
      <w:divBdr>
        <w:top w:val="none" w:sz="0" w:space="0" w:color="auto"/>
        <w:left w:val="none" w:sz="0" w:space="0" w:color="auto"/>
        <w:bottom w:val="none" w:sz="0" w:space="0" w:color="auto"/>
        <w:right w:val="none" w:sz="0" w:space="0" w:color="auto"/>
      </w:divBdr>
    </w:div>
    <w:div w:id="1516573980">
      <w:bodyDiv w:val="1"/>
      <w:marLeft w:val="0"/>
      <w:marRight w:val="0"/>
      <w:marTop w:val="0"/>
      <w:marBottom w:val="0"/>
      <w:divBdr>
        <w:top w:val="none" w:sz="0" w:space="0" w:color="auto"/>
        <w:left w:val="none" w:sz="0" w:space="0" w:color="auto"/>
        <w:bottom w:val="none" w:sz="0" w:space="0" w:color="auto"/>
        <w:right w:val="none" w:sz="0" w:space="0" w:color="auto"/>
      </w:divBdr>
    </w:div>
    <w:div w:id="1521237591">
      <w:bodyDiv w:val="1"/>
      <w:marLeft w:val="0"/>
      <w:marRight w:val="0"/>
      <w:marTop w:val="0"/>
      <w:marBottom w:val="0"/>
      <w:divBdr>
        <w:top w:val="none" w:sz="0" w:space="0" w:color="auto"/>
        <w:left w:val="none" w:sz="0" w:space="0" w:color="auto"/>
        <w:bottom w:val="none" w:sz="0" w:space="0" w:color="auto"/>
        <w:right w:val="none" w:sz="0" w:space="0" w:color="auto"/>
      </w:divBdr>
    </w:div>
    <w:div w:id="1524857797">
      <w:bodyDiv w:val="1"/>
      <w:marLeft w:val="0"/>
      <w:marRight w:val="0"/>
      <w:marTop w:val="0"/>
      <w:marBottom w:val="0"/>
      <w:divBdr>
        <w:top w:val="none" w:sz="0" w:space="0" w:color="auto"/>
        <w:left w:val="none" w:sz="0" w:space="0" w:color="auto"/>
        <w:bottom w:val="none" w:sz="0" w:space="0" w:color="auto"/>
        <w:right w:val="none" w:sz="0" w:space="0" w:color="auto"/>
      </w:divBdr>
    </w:div>
    <w:div w:id="1529298734">
      <w:bodyDiv w:val="1"/>
      <w:marLeft w:val="0"/>
      <w:marRight w:val="0"/>
      <w:marTop w:val="0"/>
      <w:marBottom w:val="0"/>
      <w:divBdr>
        <w:top w:val="none" w:sz="0" w:space="0" w:color="auto"/>
        <w:left w:val="none" w:sz="0" w:space="0" w:color="auto"/>
        <w:bottom w:val="none" w:sz="0" w:space="0" w:color="auto"/>
        <w:right w:val="none" w:sz="0" w:space="0" w:color="auto"/>
      </w:divBdr>
    </w:div>
    <w:div w:id="1532259308">
      <w:bodyDiv w:val="1"/>
      <w:marLeft w:val="0"/>
      <w:marRight w:val="0"/>
      <w:marTop w:val="0"/>
      <w:marBottom w:val="0"/>
      <w:divBdr>
        <w:top w:val="none" w:sz="0" w:space="0" w:color="auto"/>
        <w:left w:val="none" w:sz="0" w:space="0" w:color="auto"/>
        <w:bottom w:val="none" w:sz="0" w:space="0" w:color="auto"/>
        <w:right w:val="none" w:sz="0" w:space="0" w:color="auto"/>
      </w:divBdr>
    </w:div>
    <w:div w:id="1532524871">
      <w:bodyDiv w:val="1"/>
      <w:marLeft w:val="0"/>
      <w:marRight w:val="0"/>
      <w:marTop w:val="0"/>
      <w:marBottom w:val="0"/>
      <w:divBdr>
        <w:top w:val="none" w:sz="0" w:space="0" w:color="auto"/>
        <w:left w:val="none" w:sz="0" w:space="0" w:color="auto"/>
        <w:bottom w:val="none" w:sz="0" w:space="0" w:color="auto"/>
        <w:right w:val="none" w:sz="0" w:space="0" w:color="auto"/>
      </w:divBdr>
      <w:divsChild>
        <w:div w:id="824080230">
          <w:marLeft w:val="240"/>
          <w:marRight w:val="0"/>
          <w:marTop w:val="0"/>
          <w:marBottom w:val="0"/>
          <w:divBdr>
            <w:top w:val="none" w:sz="0" w:space="0" w:color="auto"/>
            <w:left w:val="none" w:sz="0" w:space="0" w:color="auto"/>
            <w:bottom w:val="none" w:sz="0" w:space="0" w:color="auto"/>
            <w:right w:val="none" w:sz="0" w:space="0" w:color="auto"/>
          </w:divBdr>
        </w:div>
        <w:div w:id="685445551">
          <w:marLeft w:val="240"/>
          <w:marRight w:val="0"/>
          <w:marTop w:val="0"/>
          <w:marBottom w:val="0"/>
          <w:divBdr>
            <w:top w:val="none" w:sz="0" w:space="0" w:color="auto"/>
            <w:left w:val="none" w:sz="0" w:space="0" w:color="auto"/>
            <w:bottom w:val="none" w:sz="0" w:space="0" w:color="auto"/>
            <w:right w:val="none" w:sz="0" w:space="0" w:color="auto"/>
          </w:divBdr>
        </w:div>
        <w:div w:id="1914388470">
          <w:marLeft w:val="240"/>
          <w:marRight w:val="0"/>
          <w:marTop w:val="0"/>
          <w:marBottom w:val="0"/>
          <w:divBdr>
            <w:top w:val="none" w:sz="0" w:space="0" w:color="auto"/>
            <w:left w:val="none" w:sz="0" w:space="0" w:color="auto"/>
            <w:bottom w:val="none" w:sz="0" w:space="0" w:color="auto"/>
            <w:right w:val="none" w:sz="0" w:space="0" w:color="auto"/>
          </w:divBdr>
        </w:div>
      </w:divsChild>
    </w:div>
    <w:div w:id="1539968121">
      <w:bodyDiv w:val="1"/>
      <w:marLeft w:val="0"/>
      <w:marRight w:val="0"/>
      <w:marTop w:val="0"/>
      <w:marBottom w:val="0"/>
      <w:divBdr>
        <w:top w:val="none" w:sz="0" w:space="0" w:color="auto"/>
        <w:left w:val="none" w:sz="0" w:space="0" w:color="auto"/>
        <w:bottom w:val="none" w:sz="0" w:space="0" w:color="auto"/>
        <w:right w:val="none" w:sz="0" w:space="0" w:color="auto"/>
      </w:divBdr>
    </w:div>
    <w:div w:id="1542128305">
      <w:bodyDiv w:val="1"/>
      <w:marLeft w:val="0"/>
      <w:marRight w:val="0"/>
      <w:marTop w:val="0"/>
      <w:marBottom w:val="0"/>
      <w:divBdr>
        <w:top w:val="none" w:sz="0" w:space="0" w:color="auto"/>
        <w:left w:val="none" w:sz="0" w:space="0" w:color="auto"/>
        <w:bottom w:val="none" w:sz="0" w:space="0" w:color="auto"/>
        <w:right w:val="none" w:sz="0" w:space="0" w:color="auto"/>
      </w:divBdr>
    </w:div>
    <w:div w:id="1546408613">
      <w:bodyDiv w:val="1"/>
      <w:marLeft w:val="0"/>
      <w:marRight w:val="0"/>
      <w:marTop w:val="0"/>
      <w:marBottom w:val="0"/>
      <w:divBdr>
        <w:top w:val="none" w:sz="0" w:space="0" w:color="auto"/>
        <w:left w:val="none" w:sz="0" w:space="0" w:color="auto"/>
        <w:bottom w:val="none" w:sz="0" w:space="0" w:color="auto"/>
        <w:right w:val="none" w:sz="0" w:space="0" w:color="auto"/>
      </w:divBdr>
    </w:div>
    <w:div w:id="1554585308">
      <w:bodyDiv w:val="1"/>
      <w:marLeft w:val="0"/>
      <w:marRight w:val="0"/>
      <w:marTop w:val="0"/>
      <w:marBottom w:val="0"/>
      <w:divBdr>
        <w:top w:val="none" w:sz="0" w:space="0" w:color="auto"/>
        <w:left w:val="none" w:sz="0" w:space="0" w:color="auto"/>
        <w:bottom w:val="none" w:sz="0" w:space="0" w:color="auto"/>
        <w:right w:val="none" w:sz="0" w:space="0" w:color="auto"/>
      </w:divBdr>
    </w:div>
    <w:div w:id="1573857400">
      <w:bodyDiv w:val="1"/>
      <w:marLeft w:val="0"/>
      <w:marRight w:val="0"/>
      <w:marTop w:val="0"/>
      <w:marBottom w:val="0"/>
      <w:divBdr>
        <w:top w:val="none" w:sz="0" w:space="0" w:color="auto"/>
        <w:left w:val="none" w:sz="0" w:space="0" w:color="auto"/>
        <w:bottom w:val="none" w:sz="0" w:space="0" w:color="auto"/>
        <w:right w:val="none" w:sz="0" w:space="0" w:color="auto"/>
      </w:divBdr>
      <w:divsChild>
        <w:div w:id="1108041487">
          <w:marLeft w:val="600"/>
          <w:marRight w:val="0"/>
          <w:marTop w:val="0"/>
          <w:marBottom w:val="0"/>
          <w:divBdr>
            <w:top w:val="none" w:sz="0" w:space="0" w:color="auto"/>
            <w:left w:val="none" w:sz="0" w:space="0" w:color="auto"/>
            <w:bottom w:val="none" w:sz="0" w:space="0" w:color="auto"/>
            <w:right w:val="none" w:sz="0" w:space="0" w:color="auto"/>
          </w:divBdr>
        </w:div>
      </w:divsChild>
    </w:div>
    <w:div w:id="1586647141">
      <w:bodyDiv w:val="1"/>
      <w:marLeft w:val="0"/>
      <w:marRight w:val="0"/>
      <w:marTop w:val="0"/>
      <w:marBottom w:val="0"/>
      <w:divBdr>
        <w:top w:val="none" w:sz="0" w:space="0" w:color="auto"/>
        <w:left w:val="none" w:sz="0" w:space="0" w:color="auto"/>
        <w:bottom w:val="none" w:sz="0" w:space="0" w:color="auto"/>
        <w:right w:val="none" w:sz="0" w:space="0" w:color="auto"/>
      </w:divBdr>
    </w:div>
    <w:div w:id="1586724038">
      <w:bodyDiv w:val="1"/>
      <w:marLeft w:val="0"/>
      <w:marRight w:val="0"/>
      <w:marTop w:val="0"/>
      <w:marBottom w:val="0"/>
      <w:divBdr>
        <w:top w:val="none" w:sz="0" w:space="0" w:color="auto"/>
        <w:left w:val="none" w:sz="0" w:space="0" w:color="auto"/>
        <w:bottom w:val="none" w:sz="0" w:space="0" w:color="auto"/>
        <w:right w:val="none" w:sz="0" w:space="0" w:color="auto"/>
      </w:divBdr>
    </w:div>
    <w:div w:id="1593926961">
      <w:bodyDiv w:val="1"/>
      <w:marLeft w:val="0"/>
      <w:marRight w:val="0"/>
      <w:marTop w:val="0"/>
      <w:marBottom w:val="0"/>
      <w:divBdr>
        <w:top w:val="none" w:sz="0" w:space="0" w:color="auto"/>
        <w:left w:val="none" w:sz="0" w:space="0" w:color="auto"/>
        <w:bottom w:val="none" w:sz="0" w:space="0" w:color="auto"/>
        <w:right w:val="none" w:sz="0" w:space="0" w:color="auto"/>
      </w:divBdr>
    </w:div>
    <w:div w:id="1608582425">
      <w:bodyDiv w:val="1"/>
      <w:marLeft w:val="0"/>
      <w:marRight w:val="0"/>
      <w:marTop w:val="0"/>
      <w:marBottom w:val="0"/>
      <w:divBdr>
        <w:top w:val="none" w:sz="0" w:space="0" w:color="auto"/>
        <w:left w:val="none" w:sz="0" w:space="0" w:color="auto"/>
        <w:bottom w:val="none" w:sz="0" w:space="0" w:color="auto"/>
        <w:right w:val="none" w:sz="0" w:space="0" w:color="auto"/>
      </w:divBdr>
    </w:div>
    <w:div w:id="1636984061">
      <w:bodyDiv w:val="1"/>
      <w:marLeft w:val="0"/>
      <w:marRight w:val="0"/>
      <w:marTop w:val="0"/>
      <w:marBottom w:val="0"/>
      <w:divBdr>
        <w:top w:val="none" w:sz="0" w:space="0" w:color="auto"/>
        <w:left w:val="none" w:sz="0" w:space="0" w:color="auto"/>
        <w:bottom w:val="none" w:sz="0" w:space="0" w:color="auto"/>
        <w:right w:val="none" w:sz="0" w:space="0" w:color="auto"/>
      </w:divBdr>
    </w:div>
    <w:div w:id="1637753634">
      <w:bodyDiv w:val="1"/>
      <w:marLeft w:val="0"/>
      <w:marRight w:val="0"/>
      <w:marTop w:val="0"/>
      <w:marBottom w:val="0"/>
      <w:divBdr>
        <w:top w:val="none" w:sz="0" w:space="0" w:color="auto"/>
        <w:left w:val="none" w:sz="0" w:space="0" w:color="auto"/>
        <w:bottom w:val="none" w:sz="0" w:space="0" w:color="auto"/>
        <w:right w:val="none" w:sz="0" w:space="0" w:color="auto"/>
      </w:divBdr>
    </w:div>
    <w:div w:id="1638990944">
      <w:bodyDiv w:val="1"/>
      <w:marLeft w:val="0"/>
      <w:marRight w:val="0"/>
      <w:marTop w:val="0"/>
      <w:marBottom w:val="0"/>
      <w:divBdr>
        <w:top w:val="none" w:sz="0" w:space="0" w:color="auto"/>
        <w:left w:val="none" w:sz="0" w:space="0" w:color="auto"/>
        <w:bottom w:val="none" w:sz="0" w:space="0" w:color="auto"/>
        <w:right w:val="none" w:sz="0" w:space="0" w:color="auto"/>
      </w:divBdr>
    </w:div>
    <w:div w:id="1662780314">
      <w:bodyDiv w:val="1"/>
      <w:marLeft w:val="0"/>
      <w:marRight w:val="0"/>
      <w:marTop w:val="0"/>
      <w:marBottom w:val="0"/>
      <w:divBdr>
        <w:top w:val="none" w:sz="0" w:space="0" w:color="auto"/>
        <w:left w:val="none" w:sz="0" w:space="0" w:color="auto"/>
        <w:bottom w:val="none" w:sz="0" w:space="0" w:color="auto"/>
        <w:right w:val="none" w:sz="0" w:space="0" w:color="auto"/>
      </w:divBdr>
    </w:div>
    <w:div w:id="1668484520">
      <w:bodyDiv w:val="1"/>
      <w:marLeft w:val="0"/>
      <w:marRight w:val="0"/>
      <w:marTop w:val="0"/>
      <w:marBottom w:val="0"/>
      <w:divBdr>
        <w:top w:val="none" w:sz="0" w:space="0" w:color="auto"/>
        <w:left w:val="none" w:sz="0" w:space="0" w:color="auto"/>
        <w:bottom w:val="none" w:sz="0" w:space="0" w:color="auto"/>
        <w:right w:val="none" w:sz="0" w:space="0" w:color="auto"/>
      </w:divBdr>
    </w:div>
    <w:div w:id="1671519662">
      <w:bodyDiv w:val="1"/>
      <w:marLeft w:val="0"/>
      <w:marRight w:val="0"/>
      <w:marTop w:val="0"/>
      <w:marBottom w:val="0"/>
      <w:divBdr>
        <w:top w:val="none" w:sz="0" w:space="0" w:color="auto"/>
        <w:left w:val="none" w:sz="0" w:space="0" w:color="auto"/>
        <w:bottom w:val="none" w:sz="0" w:space="0" w:color="auto"/>
        <w:right w:val="none" w:sz="0" w:space="0" w:color="auto"/>
      </w:divBdr>
    </w:div>
    <w:div w:id="1682274618">
      <w:bodyDiv w:val="1"/>
      <w:marLeft w:val="0"/>
      <w:marRight w:val="0"/>
      <w:marTop w:val="0"/>
      <w:marBottom w:val="0"/>
      <w:divBdr>
        <w:top w:val="none" w:sz="0" w:space="0" w:color="auto"/>
        <w:left w:val="none" w:sz="0" w:space="0" w:color="auto"/>
        <w:bottom w:val="none" w:sz="0" w:space="0" w:color="auto"/>
        <w:right w:val="none" w:sz="0" w:space="0" w:color="auto"/>
      </w:divBdr>
    </w:div>
    <w:div w:id="1682659527">
      <w:bodyDiv w:val="1"/>
      <w:marLeft w:val="0"/>
      <w:marRight w:val="0"/>
      <w:marTop w:val="0"/>
      <w:marBottom w:val="0"/>
      <w:divBdr>
        <w:top w:val="none" w:sz="0" w:space="0" w:color="auto"/>
        <w:left w:val="none" w:sz="0" w:space="0" w:color="auto"/>
        <w:bottom w:val="none" w:sz="0" w:space="0" w:color="auto"/>
        <w:right w:val="none" w:sz="0" w:space="0" w:color="auto"/>
      </w:divBdr>
      <w:divsChild>
        <w:div w:id="1318529797">
          <w:marLeft w:val="600"/>
          <w:marRight w:val="0"/>
          <w:marTop w:val="0"/>
          <w:marBottom w:val="0"/>
          <w:divBdr>
            <w:top w:val="none" w:sz="0" w:space="0" w:color="auto"/>
            <w:left w:val="none" w:sz="0" w:space="0" w:color="auto"/>
            <w:bottom w:val="none" w:sz="0" w:space="0" w:color="auto"/>
            <w:right w:val="none" w:sz="0" w:space="0" w:color="auto"/>
          </w:divBdr>
        </w:div>
      </w:divsChild>
    </w:div>
    <w:div w:id="1693414683">
      <w:bodyDiv w:val="1"/>
      <w:marLeft w:val="0"/>
      <w:marRight w:val="0"/>
      <w:marTop w:val="0"/>
      <w:marBottom w:val="0"/>
      <w:divBdr>
        <w:top w:val="none" w:sz="0" w:space="0" w:color="auto"/>
        <w:left w:val="none" w:sz="0" w:space="0" w:color="auto"/>
        <w:bottom w:val="none" w:sz="0" w:space="0" w:color="auto"/>
        <w:right w:val="none" w:sz="0" w:space="0" w:color="auto"/>
      </w:divBdr>
    </w:div>
    <w:div w:id="1701202635">
      <w:bodyDiv w:val="1"/>
      <w:marLeft w:val="0"/>
      <w:marRight w:val="0"/>
      <w:marTop w:val="0"/>
      <w:marBottom w:val="0"/>
      <w:divBdr>
        <w:top w:val="none" w:sz="0" w:space="0" w:color="auto"/>
        <w:left w:val="none" w:sz="0" w:space="0" w:color="auto"/>
        <w:bottom w:val="none" w:sz="0" w:space="0" w:color="auto"/>
        <w:right w:val="none" w:sz="0" w:space="0" w:color="auto"/>
      </w:divBdr>
    </w:div>
    <w:div w:id="1702591882">
      <w:bodyDiv w:val="1"/>
      <w:marLeft w:val="0"/>
      <w:marRight w:val="0"/>
      <w:marTop w:val="0"/>
      <w:marBottom w:val="0"/>
      <w:divBdr>
        <w:top w:val="none" w:sz="0" w:space="0" w:color="auto"/>
        <w:left w:val="none" w:sz="0" w:space="0" w:color="auto"/>
        <w:bottom w:val="none" w:sz="0" w:space="0" w:color="auto"/>
        <w:right w:val="none" w:sz="0" w:space="0" w:color="auto"/>
      </w:divBdr>
      <w:divsChild>
        <w:div w:id="29695955">
          <w:marLeft w:val="600"/>
          <w:marRight w:val="0"/>
          <w:marTop w:val="0"/>
          <w:marBottom w:val="0"/>
          <w:divBdr>
            <w:top w:val="none" w:sz="0" w:space="0" w:color="auto"/>
            <w:left w:val="none" w:sz="0" w:space="0" w:color="auto"/>
            <w:bottom w:val="none" w:sz="0" w:space="0" w:color="auto"/>
            <w:right w:val="none" w:sz="0" w:space="0" w:color="auto"/>
          </w:divBdr>
        </w:div>
      </w:divsChild>
    </w:div>
    <w:div w:id="1703164372">
      <w:bodyDiv w:val="1"/>
      <w:marLeft w:val="0"/>
      <w:marRight w:val="0"/>
      <w:marTop w:val="0"/>
      <w:marBottom w:val="0"/>
      <w:divBdr>
        <w:top w:val="none" w:sz="0" w:space="0" w:color="auto"/>
        <w:left w:val="none" w:sz="0" w:space="0" w:color="auto"/>
        <w:bottom w:val="none" w:sz="0" w:space="0" w:color="auto"/>
        <w:right w:val="none" w:sz="0" w:space="0" w:color="auto"/>
      </w:divBdr>
    </w:div>
    <w:div w:id="1703674232">
      <w:bodyDiv w:val="1"/>
      <w:marLeft w:val="0"/>
      <w:marRight w:val="0"/>
      <w:marTop w:val="0"/>
      <w:marBottom w:val="0"/>
      <w:divBdr>
        <w:top w:val="none" w:sz="0" w:space="0" w:color="auto"/>
        <w:left w:val="none" w:sz="0" w:space="0" w:color="auto"/>
        <w:bottom w:val="none" w:sz="0" w:space="0" w:color="auto"/>
        <w:right w:val="none" w:sz="0" w:space="0" w:color="auto"/>
      </w:divBdr>
    </w:div>
    <w:div w:id="1718315756">
      <w:bodyDiv w:val="1"/>
      <w:marLeft w:val="0"/>
      <w:marRight w:val="0"/>
      <w:marTop w:val="0"/>
      <w:marBottom w:val="0"/>
      <w:divBdr>
        <w:top w:val="none" w:sz="0" w:space="0" w:color="auto"/>
        <w:left w:val="none" w:sz="0" w:space="0" w:color="auto"/>
        <w:bottom w:val="none" w:sz="0" w:space="0" w:color="auto"/>
        <w:right w:val="none" w:sz="0" w:space="0" w:color="auto"/>
      </w:divBdr>
      <w:divsChild>
        <w:div w:id="1752312267">
          <w:marLeft w:val="600"/>
          <w:marRight w:val="0"/>
          <w:marTop w:val="0"/>
          <w:marBottom w:val="0"/>
          <w:divBdr>
            <w:top w:val="none" w:sz="0" w:space="0" w:color="auto"/>
            <w:left w:val="none" w:sz="0" w:space="0" w:color="auto"/>
            <w:bottom w:val="none" w:sz="0" w:space="0" w:color="auto"/>
            <w:right w:val="none" w:sz="0" w:space="0" w:color="auto"/>
          </w:divBdr>
        </w:div>
      </w:divsChild>
    </w:div>
    <w:div w:id="1720739631">
      <w:bodyDiv w:val="1"/>
      <w:marLeft w:val="0"/>
      <w:marRight w:val="0"/>
      <w:marTop w:val="0"/>
      <w:marBottom w:val="0"/>
      <w:divBdr>
        <w:top w:val="none" w:sz="0" w:space="0" w:color="auto"/>
        <w:left w:val="none" w:sz="0" w:space="0" w:color="auto"/>
        <w:bottom w:val="none" w:sz="0" w:space="0" w:color="auto"/>
        <w:right w:val="none" w:sz="0" w:space="0" w:color="auto"/>
      </w:divBdr>
    </w:div>
    <w:div w:id="1736127247">
      <w:bodyDiv w:val="1"/>
      <w:marLeft w:val="0"/>
      <w:marRight w:val="0"/>
      <w:marTop w:val="0"/>
      <w:marBottom w:val="0"/>
      <w:divBdr>
        <w:top w:val="none" w:sz="0" w:space="0" w:color="auto"/>
        <w:left w:val="none" w:sz="0" w:space="0" w:color="auto"/>
        <w:bottom w:val="none" w:sz="0" w:space="0" w:color="auto"/>
        <w:right w:val="none" w:sz="0" w:space="0" w:color="auto"/>
      </w:divBdr>
      <w:divsChild>
        <w:div w:id="452023962">
          <w:marLeft w:val="600"/>
          <w:marRight w:val="0"/>
          <w:marTop w:val="0"/>
          <w:marBottom w:val="0"/>
          <w:divBdr>
            <w:top w:val="none" w:sz="0" w:space="0" w:color="auto"/>
            <w:left w:val="none" w:sz="0" w:space="0" w:color="auto"/>
            <w:bottom w:val="none" w:sz="0" w:space="0" w:color="auto"/>
            <w:right w:val="none" w:sz="0" w:space="0" w:color="auto"/>
          </w:divBdr>
        </w:div>
      </w:divsChild>
    </w:div>
    <w:div w:id="1748310403">
      <w:bodyDiv w:val="1"/>
      <w:marLeft w:val="0"/>
      <w:marRight w:val="0"/>
      <w:marTop w:val="0"/>
      <w:marBottom w:val="0"/>
      <w:divBdr>
        <w:top w:val="none" w:sz="0" w:space="0" w:color="auto"/>
        <w:left w:val="none" w:sz="0" w:space="0" w:color="auto"/>
        <w:bottom w:val="none" w:sz="0" w:space="0" w:color="auto"/>
        <w:right w:val="none" w:sz="0" w:space="0" w:color="auto"/>
      </w:divBdr>
    </w:div>
    <w:div w:id="1749157583">
      <w:bodyDiv w:val="1"/>
      <w:marLeft w:val="0"/>
      <w:marRight w:val="0"/>
      <w:marTop w:val="0"/>
      <w:marBottom w:val="0"/>
      <w:divBdr>
        <w:top w:val="none" w:sz="0" w:space="0" w:color="auto"/>
        <w:left w:val="none" w:sz="0" w:space="0" w:color="auto"/>
        <w:bottom w:val="none" w:sz="0" w:space="0" w:color="auto"/>
        <w:right w:val="none" w:sz="0" w:space="0" w:color="auto"/>
      </w:divBdr>
    </w:div>
    <w:div w:id="1757703858">
      <w:bodyDiv w:val="1"/>
      <w:marLeft w:val="0"/>
      <w:marRight w:val="0"/>
      <w:marTop w:val="0"/>
      <w:marBottom w:val="0"/>
      <w:divBdr>
        <w:top w:val="none" w:sz="0" w:space="0" w:color="auto"/>
        <w:left w:val="none" w:sz="0" w:space="0" w:color="auto"/>
        <w:bottom w:val="none" w:sz="0" w:space="0" w:color="auto"/>
        <w:right w:val="none" w:sz="0" w:space="0" w:color="auto"/>
      </w:divBdr>
    </w:div>
    <w:div w:id="1763068374">
      <w:bodyDiv w:val="1"/>
      <w:marLeft w:val="0"/>
      <w:marRight w:val="0"/>
      <w:marTop w:val="0"/>
      <w:marBottom w:val="0"/>
      <w:divBdr>
        <w:top w:val="none" w:sz="0" w:space="0" w:color="auto"/>
        <w:left w:val="none" w:sz="0" w:space="0" w:color="auto"/>
        <w:bottom w:val="none" w:sz="0" w:space="0" w:color="auto"/>
        <w:right w:val="none" w:sz="0" w:space="0" w:color="auto"/>
      </w:divBdr>
    </w:div>
    <w:div w:id="1768429699">
      <w:bodyDiv w:val="1"/>
      <w:marLeft w:val="0"/>
      <w:marRight w:val="0"/>
      <w:marTop w:val="0"/>
      <w:marBottom w:val="0"/>
      <w:divBdr>
        <w:top w:val="none" w:sz="0" w:space="0" w:color="auto"/>
        <w:left w:val="none" w:sz="0" w:space="0" w:color="auto"/>
        <w:bottom w:val="none" w:sz="0" w:space="0" w:color="auto"/>
        <w:right w:val="none" w:sz="0" w:space="0" w:color="auto"/>
      </w:divBdr>
    </w:div>
    <w:div w:id="1769303087">
      <w:bodyDiv w:val="1"/>
      <w:marLeft w:val="0"/>
      <w:marRight w:val="0"/>
      <w:marTop w:val="0"/>
      <w:marBottom w:val="0"/>
      <w:divBdr>
        <w:top w:val="none" w:sz="0" w:space="0" w:color="auto"/>
        <w:left w:val="none" w:sz="0" w:space="0" w:color="auto"/>
        <w:bottom w:val="none" w:sz="0" w:space="0" w:color="auto"/>
        <w:right w:val="none" w:sz="0" w:space="0" w:color="auto"/>
      </w:divBdr>
      <w:divsChild>
        <w:div w:id="802239147">
          <w:marLeft w:val="600"/>
          <w:marRight w:val="0"/>
          <w:marTop w:val="0"/>
          <w:marBottom w:val="0"/>
          <w:divBdr>
            <w:top w:val="none" w:sz="0" w:space="0" w:color="auto"/>
            <w:left w:val="none" w:sz="0" w:space="0" w:color="auto"/>
            <w:bottom w:val="none" w:sz="0" w:space="0" w:color="auto"/>
            <w:right w:val="none" w:sz="0" w:space="0" w:color="auto"/>
          </w:divBdr>
        </w:div>
      </w:divsChild>
    </w:div>
    <w:div w:id="1785344794">
      <w:bodyDiv w:val="1"/>
      <w:marLeft w:val="0"/>
      <w:marRight w:val="0"/>
      <w:marTop w:val="0"/>
      <w:marBottom w:val="0"/>
      <w:divBdr>
        <w:top w:val="none" w:sz="0" w:space="0" w:color="auto"/>
        <w:left w:val="none" w:sz="0" w:space="0" w:color="auto"/>
        <w:bottom w:val="none" w:sz="0" w:space="0" w:color="auto"/>
        <w:right w:val="none" w:sz="0" w:space="0" w:color="auto"/>
      </w:divBdr>
      <w:divsChild>
        <w:div w:id="1377198156">
          <w:marLeft w:val="600"/>
          <w:marRight w:val="0"/>
          <w:marTop w:val="0"/>
          <w:marBottom w:val="0"/>
          <w:divBdr>
            <w:top w:val="none" w:sz="0" w:space="0" w:color="auto"/>
            <w:left w:val="none" w:sz="0" w:space="0" w:color="auto"/>
            <w:bottom w:val="none" w:sz="0" w:space="0" w:color="auto"/>
            <w:right w:val="none" w:sz="0" w:space="0" w:color="auto"/>
          </w:divBdr>
        </w:div>
      </w:divsChild>
    </w:div>
    <w:div w:id="1823081127">
      <w:bodyDiv w:val="1"/>
      <w:marLeft w:val="0"/>
      <w:marRight w:val="0"/>
      <w:marTop w:val="0"/>
      <w:marBottom w:val="0"/>
      <w:divBdr>
        <w:top w:val="none" w:sz="0" w:space="0" w:color="auto"/>
        <w:left w:val="none" w:sz="0" w:space="0" w:color="auto"/>
        <w:bottom w:val="none" w:sz="0" w:space="0" w:color="auto"/>
        <w:right w:val="none" w:sz="0" w:space="0" w:color="auto"/>
      </w:divBdr>
      <w:divsChild>
        <w:div w:id="1393701437">
          <w:marLeft w:val="600"/>
          <w:marRight w:val="0"/>
          <w:marTop w:val="0"/>
          <w:marBottom w:val="0"/>
          <w:divBdr>
            <w:top w:val="none" w:sz="0" w:space="0" w:color="auto"/>
            <w:left w:val="none" w:sz="0" w:space="0" w:color="auto"/>
            <w:bottom w:val="none" w:sz="0" w:space="0" w:color="auto"/>
            <w:right w:val="none" w:sz="0" w:space="0" w:color="auto"/>
          </w:divBdr>
        </w:div>
      </w:divsChild>
    </w:div>
    <w:div w:id="1853642358">
      <w:bodyDiv w:val="1"/>
      <w:marLeft w:val="0"/>
      <w:marRight w:val="0"/>
      <w:marTop w:val="0"/>
      <w:marBottom w:val="0"/>
      <w:divBdr>
        <w:top w:val="none" w:sz="0" w:space="0" w:color="auto"/>
        <w:left w:val="none" w:sz="0" w:space="0" w:color="auto"/>
        <w:bottom w:val="none" w:sz="0" w:space="0" w:color="auto"/>
        <w:right w:val="none" w:sz="0" w:space="0" w:color="auto"/>
      </w:divBdr>
    </w:div>
    <w:div w:id="1877232329">
      <w:bodyDiv w:val="1"/>
      <w:marLeft w:val="0"/>
      <w:marRight w:val="0"/>
      <w:marTop w:val="0"/>
      <w:marBottom w:val="0"/>
      <w:divBdr>
        <w:top w:val="none" w:sz="0" w:space="0" w:color="auto"/>
        <w:left w:val="none" w:sz="0" w:space="0" w:color="auto"/>
        <w:bottom w:val="none" w:sz="0" w:space="0" w:color="auto"/>
        <w:right w:val="none" w:sz="0" w:space="0" w:color="auto"/>
      </w:divBdr>
    </w:div>
    <w:div w:id="1878157359">
      <w:bodyDiv w:val="1"/>
      <w:marLeft w:val="0"/>
      <w:marRight w:val="0"/>
      <w:marTop w:val="0"/>
      <w:marBottom w:val="0"/>
      <w:divBdr>
        <w:top w:val="none" w:sz="0" w:space="0" w:color="auto"/>
        <w:left w:val="none" w:sz="0" w:space="0" w:color="auto"/>
        <w:bottom w:val="none" w:sz="0" w:space="0" w:color="auto"/>
        <w:right w:val="none" w:sz="0" w:space="0" w:color="auto"/>
      </w:divBdr>
    </w:div>
    <w:div w:id="1885872205">
      <w:bodyDiv w:val="1"/>
      <w:marLeft w:val="0"/>
      <w:marRight w:val="0"/>
      <w:marTop w:val="0"/>
      <w:marBottom w:val="0"/>
      <w:divBdr>
        <w:top w:val="none" w:sz="0" w:space="0" w:color="auto"/>
        <w:left w:val="none" w:sz="0" w:space="0" w:color="auto"/>
        <w:bottom w:val="none" w:sz="0" w:space="0" w:color="auto"/>
        <w:right w:val="none" w:sz="0" w:space="0" w:color="auto"/>
      </w:divBdr>
    </w:div>
    <w:div w:id="1890804705">
      <w:bodyDiv w:val="1"/>
      <w:marLeft w:val="0"/>
      <w:marRight w:val="0"/>
      <w:marTop w:val="0"/>
      <w:marBottom w:val="0"/>
      <w:divBdr>
        <w:top w:val="none" w:sz="0" w:space="0" w:color="auto"/>
        <w:left w:val="none" w:sz="0" w:space="0" w:color="auto"/>
        <w:bottom w:val="none" w:sz="0" w:space="0" w:color="auto"/>
        <w:right w:val="none" w:sz="0" w:space="0" w:color="auto"/>
      </w:divBdr>
    </w:div>
    <w:div w:id="1899247300">
      <w:bodyDiv w:val="1"/>
      <w:marLeft w:val="0"/>
      <w:marRight w:val="0"/>
      <w:marTop w:val="0"/>
      <w:marBottom w:val="0"/>
      <w:divBdr>
        <w:top w:val="none" w:sz="0" w:space="0" w:color="auto"/>
        <w:left w:val="none" w:sz="0" w:space="0" w:color="auto"/>
        <w:bottom w:val="none" w:sz="0" w:space="0" w:color="auto"/>
        <w:right w:val="none" w:sz="0" w:space="0" w:color="auto"/>
      </w:divBdr>
    </w:div>
    <w:div w:id="1903102606">
      <w:bodyDiv w:val="1"/>
      <w:marLeft w:val="0"/>
      <w:marRight w:val="0"/>
      <w:marTop w:val="0"/>
      <w:marBottom w:val="0"/>
      <w:divBdr>
        <w:top w:val="none" w:sz="0" w:space="0" w:color="auto"/>
        <w:left w:val="none" w:sz="0" w:space="0" w:color="auto"/>
        <w:bottom w:val="none" w:sz="0" w:space="0" w:color="auto"/>
        <w:right w:val="none" w:sz="0" w:space="0" w:color="auto"/>
      </w:divBdr>
      <w:divsChild>
        <w:div w:id="424885972">
          <w:marLeft w:val="600"/>
          <w:marRight w:val="0"/>
          <w:marTop w:val="0"/>
          <w:marBottom w:val="0"/>
          <w:divBdr>
            <w:top w:val="none" w:sz="0" w:space="0" w:color="auto"/>
            <w:left w:val="none" w:sz="0" w:space="0" w:color="auto"/>
            <w:bottom w:val="none" w:sz="0" w:space="0" w:color="auto"/>
            <w:right w:val="none" w:sz="0" w:space="0" w:color="auto"/>
          </w:divBdr>
        </w:div>
      </w:divsChild>
    </w:div>
    <w:div w:id="1920477359">
      <w:bodyDiv w:val="1"/>
      <w:marLeft w:val="0"/>
      <w:marRight w:val="0"/>
      <w:marTop w:val="0"/>
      <w:marBottom w:val="0"/>
      <w:divBdr>
        <w:top w:val="none" w:sz="0" w:space="0" w:color="auto"/>
        <w:left w:val="none" w:sz="0" w:space="0" w:color="auto"/>
        <w:bottom w:val="none" w:sz="0" w:space="0" w:color="auto"/>
        <w:right w:val="none" w:sz="0" w:space="0" w:color="auto"/>
      </w:divBdr>
    </w:div>
    <w:div w:id="1924022296">
      <w:bodyDiv w:val="1"/>
      <w:marLeft w:val="0"/>
      <w:marRight w:val="0"/>
      <w:marTop w:val="0"/>
      <w:marBottom w:val="0"/>
      <w:divBdr>
        <w:top w:val="none" w:sz="0" w:space="0" w:color="auto"/>
        <w:left w:val="none" w:sz="0" w:space="0" w:color="auto"/>
        <w:bottom w:val="none" w:sz="0" w:space="0" w:color="auto"/>
        <w:right w:val="none" w:sz="0" w:space="0" w:color="auto"/>
      </w:divBdr>
    </w:div>
    <w:div w:id="1939825171">
      <w:bodyDiv w:val="1"/>
      <w:marLeft w:val="0"/>
      <w:marRight w:val="0"/>
      <w:marTop w:val="0"/>
      <w:marBottom w:val="0"/>
      <w:divBdr>
        <w:top w:val="none" w:sz="0" w:space="0" w:color="auto"/>
        <w:left w:val="none" w:sz="0" w:space="0" w:color="auto"/>
        <w:bottom w:val="none" w:sz="0" w:space="0" w:color="auto"/>
        <w:right w:val="none" w:sz="0" w:space="0" w:color="auto"/>
      </w:divBdr>
    </w:div>
    <w:div w:id="1972589657">
      <w:bodyDiv w:val="1"/>
      <w:marLeft w:val="0"/>
      <w:marRight w:val="0"/>
      <w:marTop w:val="0"/>
      <w:marBottom w:val="0"/>
      <w:divBdr>
        <w:top w:val="none" w:sz="0" w:space="0" w:color="auto"/>
        <w:left w:val="none" w:sz="0" w:space="0" w:color="auto"/>
        <w:bottom w:val="none" w:sz="0" w:space="0" w:color="auto"/>
        <w:right w:val="none" w:sz="0" w:space="0" w:color="auto"/>
      </w:divBdr>
    </w:div>
    <w:div w:id="1978104764">
      <w:bodyDiv w:val="1"/>
      <w:marLeft w:val="0"/>
      <w:marRight w:val="0"/>
      <w:marTop w:val="0"/>
      <w:marBottom w:val="0"/>
      <w:divBdr>
        <w:top w:val="none" w:sz="0" w:space="0" w:color="auto"/>
        <w:left w:val="none" w:sz="0" w:space="0" w:color="auto"/>
        <w:bottom w:val="none" w:sz="0" w:space="0" w:color="auto"/>
        <w:right w:val="none" w:sz="0" w:space="0" w:color="auto"/>
      </w:divBdr>
    </w:div>
    <w:div w:id="1982032542">
      <w:bodyDiv w:val="1"/>
      <w:marLeft w:val="0"/>
      <w:marRight w:val="0"/>
      <w:marTop w:val="0"/>
      <w:marBottom w:val="0"/>
      <w:divBdr>
        <w:top w:val="none" w:sz="0" w:space="0" w:color="auto"/>
        <w:left w:val="none" w:sz="0" w:space="0" w:color="auto"/>
        <w:bottom w:val="none" w:sz="0" w:space="0" w:color="auto"/>
        <w:right w:val="none" w:sz="0" w:space="0" w:color="auto"/>
      </w:divBdr>
    </w:div>
    <w:div w:id="1984196273">
      <w:bodyDiv w:val="1"/>
      <w:marLeft w:val="0"/>
      <w:marRight w:val="0"/>
      <w:marTop w:val="0"/>
      <w:marBottom w:val="0"/>
      <w:divBdr>
        <w:top w:val="none" w:sz="0" w:space="0" w:color="auto"/>
        <w:left w:val="none" w:sz="0" w:space="0" w:color="auto"/>
        <w:bottom w:val="none" w:sz="0" w:space="0" w:color="auto"/>
        <w:right w:val="none" w:sz="0" w:space="0" w:color="auto"/>
      </w:divBdr>
    </w:div>
    <w:div w:id="2000307477">
      <w:bodyDiv w:val="1"/>
      <w:marLeft w:val="0"/>
      <w:marRight w:val="0"/>
      <w:marTop w:val="0"/>
      <w:marBottom w:val="0"/>
      <w:divBdr>
        <w:top w:val="none" w:sz="0" w:space="0" w:color="auto"/>
        <w:left w:val="none" w:sz="0" w:space="0" w:color="auto"/>
        <w:bottom w:val="none" w:sz="0" w:space="0" w:color="auto"/>
        <w:right w:val="none" w:sz="0" w:space="0" w:color="auto"/>
      </w:divBdr>
      <w:divsChild>
        <w:div w:id="2011180135">
          <w:marLeft w:val="600"/>
          <w:marRight w:val="0"/>
          <w:marTop w:val="0"/>
          <w:marBottom w:val="0"/>
          <w:divBdr>
            <w:top w:val="none" w:sz="0" w:space="0" w:color="auto"/>
            <w:left w:val="none" w:sz="0" w:space="0" w:color="auto"/>
            <w:bottom w:val="none" w:sz="0" w:space="0" w:color="auto"/>
            <w:right w:val="none" w:sz="0" w:space="0" w:color="auto"/>
          </w:divBdr>
        </w:div>
      </w:divsChild>
    </w:div>
    <w:div w:id="2009821890">
      <w:bodyDiv w:val="1"/>
      <w:marLeft w:val="0"/>
      <w:marRight w:val="0"/>
      <w:marTop w:val="0"/>
      <w:marBottom w:val="0"/>
      <w:divBdr>
        <w:top w:val="none" w:sz="0" w:space="0" w:color="auto"/>
        <w:left w:val="none" w:sz="0" w:space="0" w:color="auto"/>
        <w:bottom w:val="none" w:sz="0" w:space="0" w:color="auto"/>
        <w:right w:val="none" w:sz="0" w:space="0" w:color="auto"/>
      </w:divBdr>
      <w:divsChild>
        <w:div w:id="1154685536">
          <w:marLeft w:val="600"/>
          <w:marRight w:val="0"/>
          <w:marTop w:val="0"/>
          <w:marBottom w:val="0"/>
          <w:divBdr>
            <w:top w:val="none" w:sz="0" w:space="0" w:color="auto"/>
            <w:left w:val="none" w:sz="0" w:space="0" w:color="auto"/>
            <w:bottom w:val="none" w:sz="0" w:space="0" w:color="auto"/>
            <w:right w:val="none" w:sz="0" w:space="0" w:color="auto"/>
          </w:divBdr>
          <w:divsChild>
            <w:div w:id="17303773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14840026">
      <w:bodyDiv w:val="1"/>
      <w:marLeft w:val="0"/>
      <w:marRight w:val="0"/>
      <w:marTop w:val="0"/>
      <w:marBottom w:val="0"/>
      <w:divBdr>
        <w:top w:val="none" w:sz="0" w:space="0" w:color="auto"/>
        <w:left w:val="none" w:sz="0" w:space="0" w:color="auto"/>
        <w:bottom w:val="none" w:sz="0" w:space="0" w:color="auto"/>
        <w:right w:val="none" w:sz="0" w:space="0" w:color="auto"/>
      </w:divBdr>
    </w:div>
    <w:div w:id="2020234016">
      <w:bodyDiv w:val="1"/>
      <w:marLeft w:val="0"/>
      <w:marRight w:val="0"/>
      <w:marTop w:val="0"/>
      <w:marBottom w:val="0"/>
      <w:divBdr>
        <w:top w:val="none" w:sz="0" w:space="0" w:color="auto"/>
        <w:left w:val="none" w:sz="0" w:space="0" w:color="auto"/>
        <w:bottom w:val="none" w:sz="0" w:space="0" w:color="auto"/>
        <w:right w:val="none" w:sz="0" w:space="0" w:color="auto"/>
      </w:divBdr>
    </w:div>
    <w:div w:id="2034107163">
      <w:bodyDiv w:val="1"/>
      <w:marLeft w:val="0"/>
      <w:marRight w:val="0"/>
      <w:marTop w:val="0"/>
      <w:marBottom w:val="0"/>
      <w:divBdr>
        <w:top w:val="none" w:sz="0" w:space="0" w:color="auto"/>
        <w:left w:val="none" w:sz="0" w:space="0" w:color="auto"/>
        <w:bottom w:val="none" w:sz="0" w:space="0" w:color="auto"/>
        <w:right w:val="none" w:sz="0" w:space="0" w:color="auto"/>
      </w:divBdr>
    </w:div>
    <w:div w:id="2045590219">
      <w:bodyDiv w:val="1"/>
      <w:marLeft w:val="0"/>
      <w:marRight w:val="0"/>
      <w:marTop w:val="0"/>
      <w:marBottom w:val="0"/>
      <w:divBdr>
        <w:top w:val="none" w:sz="0" w:space="0" w:color="auto"/>
        <w:left w:val="none" w:sz="0" w:space="0" w:color="auto"/>
        <w:bottom w:val="none" w:sz="0" w:space="0" w:color="auto"/>
        <w:right w:val="none" w:sz="0" w:space="0" w:color="auto"/>
      </w:divBdr>
    </w:div>
    <w:div w:id="2055032204">
      <w:bodyDiv w:val="1"/>
      <w:marLeft w:val="0"/>
      <w:marRight w:val="0"/>
      <w:marTop w:val="0"/>
      <w:marBottom w:val="0"/>
      <w:divBdr>
        <w:top w:val="none" w:sz="0" w:space="0" w:color="auto"/>
        <w:left w:val="none" w:sz="0" w:space="0" w:color="auto"/>
        <w:bottom w:val="none" w:sz="0" w:space="0" w:color="auto"/>
        <w:right w:val="none" w:sz="0" w:space="0" w:color="auto"/>
      </w:divBdr>
    </w:div>
    <w:div w:id="2056343925">
      <w:bodyDiv w:val="1"/>
      <w:marLeft w:val="0"/>
      <w:marRight w:val="0"/>
      <w:marTop w:val="0"/>
      <w:marBottom w:val="0"/>
      <w:divBdr>
        <w:top w:val="none" w:sz="0" w:space="0" w:color="auto"/>
        <w:left w:val="none" w:sz="0" w:space="0" w:color="auto"/>
        <w:bottom w:val="none" w:sz="0" w:space="0" w:color="auto"/>
        <w:right w:val="none" w:sz="0" w:space="0" w:color="auto"/>
      </w:divBdr>
    </w:div>
    <w:div w:id="2061786416">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86606197">
      <w:bodyDiv w:val="1"/>
      <w:marLeft w:val="0"/>
      <w:marRight w:val="0"/>
      <w:marTop w:val="0"/>
      <w:marBottom w:val="0"/>
      <w:divBdr>
        <w:top w:val="none" w:sz="0" w:space="0" w:color="auto"/>
        <w:left w:val="none" w:sz="0" w:space="0" w:color="auto"/>
        <w:bottom w:val="none" w:sz="0" w:space="0" w:color="auto"/>
        <w:right w:val="none" w:sz="0" w:space="0" w:color="auto"/>
      </w:divBdr>
    </w:div>
    <w:div w:id="2090156705">
      <w:bodyDiv w:val="1"/>
      <w:marLeft w:val="0"/>
      <w:marRight w:val="0"/>
      <w:marTop w:val="0"/>
      <w:marBottom w:val="0"/>
      <w:divBdr>
        <w:top w:val="none" w:sz="0" w:space="0" w:color="auto"/>
        <w:left w:val="none" w:sz="0" w:space="0" w:color="auto"/>
        <w:bottom w:val="none" w:sz="0" w:space="0" w:color="auto"/>
        <w:right w:val="none" w:sz="0" w:space="0" w:color="auto"/>
      </w:divBdr>
    </w:div>
    <w:div w:id="2091349748">
      <w:bodyDiv w:val="1"/>
      <w:marLeft w:val="0"/>
      <w:marRight w:val="0"/>
      <w:marTop w:val="0"/>
      <w:marBottom w:val="0"/>
      <w:divBdr>
        <w:top w:val="none" w:sz="0" w:space="0" w:color="auto"/>
        <w:left w:val="none" w:sz="0" w:space="0" w:color="auto"/>
        <w:bottom w:val="none" w:sz="0" w:space="0" w:color="auto"/>
        <w:right w:val="none" w:sz="0" w:space="0" w:color="auto"/>
      </w:divBdr>
    </w:div>
    <w:div w:id="2109764745">
      <w:bodyDiv w:val="1"/>
      <w:marLeft w:val="0"/>
      <w:marRight w:val="0"/>
      <w:marTop w:val="0"/>
      <w:marBottom w:val="0"/>
      <w:divBdr>
        <w:top w:val="none" w:sz="0" w:space="0" w:color="auto"/>
        <w:left w:val="none" w:sz="0" w:space="0" w:color="auto"/>
        <w:bottom w:val="none" w:sz="0" w:space="0" w:color="auto"/>
        <w:right w:val="none" w:sz="0" w:space="0" w:color="auto"/>
      </w:divBdr>
      <w:divsChild>
        <w:div w:id="2092963244">
          <w:marLeft w:val="600"/>
          <w:marRight w:val="0"/>
          <w:marTop w:val="0"/>
          <w:marBottom w:val="0"/>
          <w:divBdr>
            <w:top w:val="none" w:sz="0" w:space="0" w:color="auto"/>
            <w:left w:val="none" w:sz="0" w:space="0" w:color="auto"/>
            <w:bottom w:val="none" w:sz="0" w:space="0" w:color="auto"/>
            <w:right w:val="none" w:sz="0" w:space="0" w:color="auto"/>
          </w:divBdr>
        </w:div>
      </w:divsChild>
    </w:div>
    <w:div w:id="2110276898">
      <w:bodyDiv w:val="1"/>
      <w:marLeft w:val="0"/>
      <w:marRight w:val="0"/>
      <w:marTop w:val="0"/>
      <w:marBottom w:val="0"/>
      <w:divBdr>
        <w:top w:val="none" w:sz="0" w:space="0" w:color="auto"/>
        <w:left w:val="none" w:sz="0" w:space="0" w:color="auto"/>
        <w:bottom w:val="none" w:sz="0" w:space="0" w:color="auto"/>
        <w:right w:val="none" w:sz="0" w:space="0" w:color="auto"/>
      </w:divBdr>
    </w:div>
    <w:div w:id="2116440965">
      <w:bodyDiv w:val="1"/>
      <w:marLeft w:val="0"/>
      <w:marRight w:val="0"/>
      <w:marTop w:val="0"/>
      <w:marBottom w:val="0"/>
      <w:divBdr>
        <w:top w:val="none" w:sz="0" w:space="0" w:color="auto"/>
        <w:left w:val="none" w:sz="0" w:space="0" w:color="auto"/>
        <w:bottom w:val="none" w:sz="0" w:space="0" w:color="auto"/>
        <w:right w:val="none" w:sz="0" w:space="0" w:color="auto"/>
      </w:divBdr>
    </w:div>
    <w:div w:id="2121147286">
      <w:bodyDiv w:val="1"/>
      <w:marLeft w:val="0"/>
      <w:marRight w:val="0"/>
      <w:marTop w:val="0"/>
      <w:marBottom w:val="0"/>
      <w:divBdr>
        <w:top w:val="none" w:sz="0" w:space="0" w:color="auto"/>
        <w:left w:val="none" w:sz="0" w:space="0" w:color="auto"/>
        <w:bottom w:val="none" w:sz="0" w:space="0" w:color="auto"/>
        <w:right w:val="none" w:sz="0" w:space="0" w:color="auto"/>
      </w:divBdr>
      <w:divsChild>
        <w:div w:id="304356204">
          <w:marLeft w:val="600"/>
          <w:marRight w:val="0"/>
          <w:marTop w:val="0"/>
          <w:marBottom w:val="0"/>
          <w:divBdr>
            <w:top w:val="none" w:sz="0" w:space="0" w:color="auto"/>
            <w:left w:val="none" w:sz="0" w:space="0" w:color="auto"/>
            <w:bottom w:val="none" w:sz="0" w:space="0" w:color="auto"/>
            <w:right w:val="none" w:sz="0" w:space="0" w:color="auto"/>
          </w:divBdr>
        </w:div>
      </w:divsChild>
    </w:div>
    <w:div w:id="2124029653">
      <w:bodyDiv w:val="1"/>
      <w:marLeft w:val="0"/>
      <w:marRight w:val="0"/>
      <w:marTop w:val="0"/>
      <w:marBottom w:val="0"/>
      <w:divBdr>
        <w:top w:val="none" w:sz="0" w:space="0" w:color="auto"/>
        <w:left w:val="none" w:sz="0" w:space="0" w:color="auto"/>
        <w:bottom w:val="none" w:sz="0" w:space="0" w:color="auto"/>
        <w:right w:val="none" w:sz="0" w:space="0" w:color="auto"/>
      </w:divBdr>
    </w:div>
    <w:div w:id="21271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50C92-B304-4FC3-8C85-8B405A5D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Процес усклађивања законодавства са правом ЕУ</vt:lpstr>
    </vt:vector>
  </TitlesOfParts>
  <Company>KEI</Company>
  <LinksUpToDate>false</LinksUpToDate>
  <CharactersWithSpaces>17778</CharactersWithSpaces>
  <SharedDoc>false</SharedDoc>
  <HLinks>
    <vt:vector size="12" baseType="variant">
      <vt:variant>
        <vt:i4>7077943</vt:i4>
      </vt:variant>
      <vt:variant>
        <vt:i4>3</vt:i4>
      </vt:variant>
      <vt:variant>
        <vt:i4>0</vt:i4>
      </vt:variant>
      <vt:variant>
        <vt:i4>5</vt:i4>
      </vt:variant>
      <vt:variant>
        <vt:lpwstr>http://eur-lex.europa.eu/LexUriServ/LexUriServ.do?uri=CONSLEG:2000L0060:20090625:EN:PDF</vt:lpwstr>
      </vt:variant>
      <vt:variant>
        <vt:lpwstr/>
      </vt:variant>
      <vt:variant>
        <vt:i4>2949177</vt:i4>
      </vt:variant>
      <vt:variant>
        <vt:i4>0</vt:i4>
      </vt:variant>
      <vt:variant>
        <vt:i4>0</vt:i4>
      </vt:variant>
      <vt:variant>
        <vt:i4>5</vt:i4>
      </vt:variant>
      <vt:variant>
        <vt:lpwstr>http://www.seio.gov.rs/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 усклађивања законодавства са правом ЕУ</dc:title>
  <dc:creator>Zoran Sretić</dc:creator>
  <cp:lastModifiedBy>Andjelka Opacic</cp:lastModifiedBy>
  <cp:revision>20</cp:revision>
  <cp:lastPrinted>2013-06-06T10:18:00Z</cp:lastPrinted>
  <dcterms:created xsi:type="dcterms:W3CDTF">2018-08-09T09:03:00Z</dcterms:created>
  <dcterms:modified xsi:type="dcterms:W3CDTF">2018-08-10T05:49:00Z</dcterms:modified>
</cp:coreProperties>
</file>